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380" w:rsidRDefault="00EF1C95">
      <w:pPr>
        <w:tabs>
          <w:tab w:val="left" w:pos="7088"/>
        </w:tabs>
        <w:spacing w:line="360" w:lineRule="atLeast"/>
      </w:pPr>
      <w:r w:rsidRPr="000F7AB7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3CE3150" wp14:editId="18468C14">
                <wp:simplePos x="0" y="0"/>
                <wp:positionH relativeFrom="column">
                  <wp:posOffset>-75373</wp:posOffset>
                </wp:positionH>
                <wp:positionV relativeFrom="paragraph">
                  <wp:posOffset>-14988</wp:posOffset>
                </wp:positionV>
                <wp:extent cx="6991350" cy="9998015"/>
                <wp:effectExtent l="38100" t="38100" r="57150" b="6096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1350" cy="9998015"/>
                        </a:xfrm>
                        <a:prstGeom prst="rect">
                          <a:avLst/>
                        </a:prstGeom>
                        <a:noFill/>
                        <a:ln w="88900">
                          <a:solidFill>
                            <a:srgbClr val="FF99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BD9B3" id="Rectangle 3" o:spid="_x0000_s1026" style="position:absolute;margin-left:-5.95pt;margin-top:-1.2pt;width:550.5pt;height:78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" o:allowincell="f" filled="f" strokecolor="#f90" strokeweight="7pt"/>
            </w:pict>
          </mc:Fallback>
        </mc:AlternateContent>
      </w:r>
      <w:r w:rsidR="000D2A99" w:rsidRPr="000F7AB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08D5C73" wp14:editId="1A206B11">
                <wp:simplePos x="0" y="0"/>
                <wp:positionH relativeFrom="column">
                  <wp:posOffset>2351405</wp:posOffset>
                </wp:positionH>
                <wp:positionV relativeFrom="paragraph">
                  <wp:posOffset>14605</wp:posOffset>
                </wp:positionV>
                <wp:extent cx="2257425" cy="1193800"/>
                <wp:effectExtent l="0" t="0" r="0" b="63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19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AB7" w:rsidRDefault="000F7AB7">
                            <w:pPr>
                              <w:pStyle w:val="Heading1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0D2A99" w:rsidRPr="000D2A99" w:rsidRDefault="000D2A99" w:rsidP="000D2A99">
                            <w:pPr>
                              <w:pStyle w:val="Heading1"/>
                              <w:jc w:val="center"/>
                              <w:rPr>
                                <w:sz w:val="28"/>
                              </w:rPr>
                            </w:pPr>
                            <w:r w:rsidRPr="000D2A99">
                              <w:rPr>
                                <w:sz w:val="28"/>
                              </w:rPr>
                              <w:t>Betriebsanweisung</w:t>
                            </w:r>
                          </w:p>
                          <w:p w:rsidR="000D2A99" w:rsidRPr="000D2A99" w:rsidRDefault="000D2A99" w:rsidP="000D2A99">
                            <w:pPr>
                              <w:pStyle w:val="Heading1"/>
                              <w:jc w:val="center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0D2A99">
                              <w:rPr>
                                <w:b w:val="0"/>
                                <w:sz w:val="16"/>
                                <w:szCs w:val="16"/>
                              </w:rPr>
                              <w:t>gemäß § 14 GefStoffV</w:t>
                            </w:r>
                          </w:p>
                          <w:p w:rsidR="000D2A99" w:rsidRPr="000D2A99" w:rsidRDefault="000D2A99" w:rsidP="000D2A99">
                            <w:pPr>
                              <w:pStyle w:val="Heading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21380" w:rsidRPr="00B557BE" w:rsidRDefault="000D2A99" w:rsidP="00E96E1B">
                            <w:pPr>
                              <w:pStyle w:val="Heading1"/>
                              <w:jc w:val="center"/>
                              <w:rPr>
                                <w:b w:val="0"/>
                                <w:sz w:val="24"/>
                              </w:rPr>
                            </w:pPr>
                            <w:r w:rsidRPr="00B557BE">
                              <w:rPr>
                                <w:sz w:val="28"/>
                              </w:rPr>
                              <w:t xml:space="preserve">für </w:t>
                            </w:r>
                            <w:r w:rsidR="00E96E1B">
                              <w:rPr>
                                <w:sz w:val="28"/>
                              </w:rPr>
                              <w:t>Butyllithium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8D5C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5.15pt;margin-top:1.15pt;width:177.75pt;height:9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CKOuAIAALo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" o:allowincell="f" filled="f" stroked="f">
                <v:textbox>
                  <w:txbxContent>
                    <w:p w:rsidR="000F7AB7" w:rsidRDefault="000F7AB7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</w:p>
                    <w:p w:rsidR="000D2A99" w:rsidRPr="000D2A99" w:rsidRDefault="000D2A99" w:rsidP="000D2A99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  <w:r w:rsidRPr="000D2A99">
                        <w:rPr>
                          <w:sz w:val="28"/>
                        </w:rPr>
                        <w:t>Betriebsanweisung</w:t>
                      </w:r>
                    </w:p>
                    <w:p w:rsidR="000D2A99" w:rsidRPr="000D2A99" w:rsidRDefault="000D2A99" w:rsidP="000D2A99">
                      <w:pPr>
                        <w:pStyle w:val="berschrift1"/>
                        <w:jc w:val="center"/>
                        <w:rPr>
                          <w:b w:val="0"/>
                          <w:sz w:val="16"/>
                          <w:szCs w:val="16"/>
                        </w:rPr>
                      </w:pPr>
                      <w:r w:rsidRPr="000D2A99">
                        <w:rPr>
                          <w:b w:val="0"/>
                          <w:sz w:val="16"/>
                          <w:szCs w:val="16"/>
                        </w:rPr>
                        <w:t>gemäß § 14 GefStoffV</w:t>
                      </w:r>
                    </w:p>
                    <w:p w:rsidR="000D2A99" w:rsidRPr="000D2A99" w:rsidRDefault="000D2A99" w:rsidP="000D2A99">
                      <w:pPr>
                        <w:pStyle w:val="berschrift1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21380" w:rsidRPr="00B557BE" w:rsidRDefault="000D2A99" w:rsidP="00E96E1B">
                      <w:pPr>
                        <w:pStyle w:val="berschrift1"/>
                        <w:jc w:val="center"/>
                        <w:rPr>
                          <w:b w:val="0"/>
                          <w:sz w:val="24"/>
                        </w:rPr>
                      </w:pPr>
                      <w:r w:rsidRPr="00B557BE">
                        <w:rPr>
                          <w:sz w:val="28"/>
                        </w:rPr>
                        <w:t xml:space="preserve">für </w:t>
                      </w:r>
                      <w:r w:rsidR="00E96E1B">
                        <w:rPr>
                          <w:sz w:val="28"/>
                        </w:rPr>
                        <w:t>Butyllithium</w:t>
                      </w:r>
                    </w:p>
                  </w:txbxContent>
                </v:textbox>
              </v:shape>
            </w:pict>
          </mc:Fallback>
        </mc:AlternateContent>
      </w:r>
      <w:r w:rsidR="002061CF" w:rsidRPr="000F7AB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82A1D72" wp14:editId="42B87781">
                <wp:simplePos x="0" y="0"/>
                <wp:positionH relativeFrom="column">
                  <wp:posOffset>5019040</wp:posOffset>
                </wp:positionH>
                <wp:positionV relativeFrom="paragraph">
                  <wp:posOffset>97790</wp:posOffset>
                </wp:positionV>
                <wp:extent cx="1796415" cy="104013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04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AB7" w:rsidRDefault="002061CF" w:rsidP="000F7AB7">
                            <w:pPr>
                              <w:pStyle w:val="Heading5"/>
                              <w:jc w:val="center"/>
                            </w:pPr>
                            <w:r w:rsidRPr="00D117D2">
                              <w:rPr>
                                <w:noProof/>
                              </w:rPr>
                              <w:drawing>
                                <wp:inline distT="0" distB="0" distL="0" distR="0" wp14:anchorId="08185220" wp14:editId="28134236">
                                  <wp:extent cx="1399540" cy="325755"/>
                                  <wp:effectExtent l="0" t="0" r="0" b="0"/>
                                  <wp:docPr id="3" name="Grafik 5" descr="Bereichs-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5" descr="Bereichs-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7AB7" w:rsidRDefault="002061CF" w:rsidP="000F7AB7">
                            <w:pPr>
                              <w:pStyle w:val="Heading5"/>
                              <w:jc w:val="center"/>
                            </w:pPr>
                            <w:r w:rsidRPr="00D117D2">
                              <w:rPr>
                                <w:noProof/>
                              </w:rPr>
                              <w:drawing>
                                <wp:inline distT="0" distB="0" distL="0" distR="0" wp14:anchorId="05DFC805" wp14:editId="75091658">
                                  <wp:extent cx="1399540" cy="421640"/>
                                  <wp:effectExtent l="0" t="0" r="0" b="0"/>
                                  <wp:docPr id="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421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21380" w:rsidRPr="000F7AB7" w:rsidRDefault="000F7AB7" w:rsidP="000F7AB7">
                            <w:pPr>
                              <w:pStyle w:val="Heading5"/>
                              <w:jc w:val="center"/>
                              <w:rPr>
                                <w:b w:val="0"/>
                                <w:i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>Institut für Organische Chemie und Zentrum für Nanosystemchemie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A1D72" id="Text Box 7" o:spid="_x0000_s1027" type="#_x0000_t202" style="position:absolute;margin-left:395.2pt;margin-top:7.7pt;width:141.45pt;height:8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" o:allowincell="f" stroked="f">
                <v:textbox inset=",0">
                  <w:txbxContent>
                    <w:p w:rsidR="000F7AB7" w:rsidRDefault="002061CF" w:rsidP="000F7AB7">
                      <w:pPr>
                        <w:pStyle w:val="berschrift5"/>
                        <w:jc w:val="center"/>
                      </w:pPr>
                      <w:r w:rsidRPr="00D117D2">
                        <w:rPr>
                          <w:noProof/>
                        </w:rPr>
                        <w:drawing>
                          <wp:inline distT="0" distB="0" distL="0" distR="0" wp14:anchorId="08185220" wp14:editId="28134236">
                            <wp:extent cx="1399540" cy="325755"/>
                            <wp:effectExtent l="0" t="0" r="0" b="0"/>
                            <wp:docPr id="3" name="Grafik 5" descr="Bereichs-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5" descr="Bereichs-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7AB7" w:rsidRDefault="002061CF" w:rsidP="000F7AB7">
                      <w:pPr>
                        <w:pStyle w:val="berschrift5"/>
                        <w:jc w:val="center"/>
                      </w:pPr>
                      <w:r w:rsidRPr="00D117D2">
                        <w:rPr>
                          <w:noProof/>
                        </w:rPr>
                        <w:drawing>
                          <wp:inline distT="0" distB="0" distL="0" distR="0" wp14:anchorId="05DFC805" wp14:editId="75091658">
                            <wp:extent cx="1399540" cy="421640"/>
                            <wp:effectExtent l="0" t="0" r="0" b="0"/>
                            <wp:docPr id="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421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21380" w:rsidRPr="000F7AB7" w:rsidRDefault="000F7AB7" w:rsidP="000F7AB7">
                      <w:pPr>
                        <w:pStyle w:val="berschrift5"/>
                        <w:jc w:val="center"/>
                        <w:rPr>
                          <w:b w:val="0"/>
                          <w:i w:val="0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i w:val="0"/>
                          <w:color w:val="auto"/>
                          <w:sz w:val="16"/>
                          <w:szCs w:val="16"/>
                        </w:rPr>
                        <w:t>Institut für Organische Chemie und Zentrum für Nanosystemchemie</w:t>
                      </w:r>
                    </w:p>
                  </w:txbxContent>
                </v:textbox>
              </v:shape>
            </w:pict>
          </mc:Fallback>
        </mc:AlternateContent>
      </w:r>
      <w:r w:rsidR="000F7AB7" w:rsidRPr="000F7AB7">
        <w:rPr>
          <w:b/>
        </w:rPr>
        <w:t>Universität Würzbur</w:t>
      </w:r>
      <w:r w:rsidR="000F7AB7">
        <w:rPr>
          <w:b/>
        </w:rPr>
        <w:t>g</w:t>
      </w:r>
      <w:r w:rsidR="00521380">
        <w:t xml:space="preserve"> </w:t>
      </w:r>
    </w:p>
    <w:p w:rsidR="000F7AB7" w:rsidRDefault="000F7AB7"/>
    <w:p w:rsidR="000F7AB7" w:rsidRDefault="000F7AB7"/>
    <w:p w:rsidR="000F7AB7" w:rsidRDefault="000F7AB7"/>
    <w:p w:rsidR="000F7AB7" w:rsidRDefault="0085650F">
      <w:r>
        <w:t>Bearbeitungsstand</w:t>
      </w:r>
      <w:r w:rsidR="00521380">
        <w:t>:</w:t>
      </w:r>
      <w:r w:rsidR="0021497F">
        <w:t xml:space="preserve"> </w:t>
      </w:r>
      <w:r w:rsidR="00A177F1">
        <w:t>0</w:t>
      </w:r>
      <w:r w:rsidR="000F7AB7">
        <w:t>3</w:t>
      </w:r>
      <w:r w:rsidR="0021497F">
        <w:t>/</w:t>
      </w:r>
      <w:r w:rsidR="000F7AB7">
        <w:t>17</w:t>
      </w:r>
    </w:p>
    <w:p w:rsidR="000745E3" w:rsidRDefault="00521380">
      <w:r>
        <w:t>Arbeit</w:t>
      </w:r>
      <w:r w:rsidR="000D2A99">
        <w:t>s</w:t>
      </w:r>
      <w:r>
        <w:t xml:space="preserve">bereich: </w:t>
      </w:r>
      <w:r w:rsidR="000D2A99">
        <w:t>L</w:t>
      </w:r>
      <w:r w:rsidR="00092FC1">
        <w:t>abor</w:t>
      </w:r>
    </w:p>
    <w:p w:rsidR="00ED07BD" w:rsidRDefault="005B609F" w:rsidP="00A177F1">
      <w:pPr>
        <w:rPr>
          <w:sz w:val="16"/>
          <w:szCs w:val="1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776" behindDoc="1" locked="0" layoutInCell="1" allowOverlap="1" wp14:anchorId="48D087CA" wp14:editId="02F62881">
            <wp:simplePos x="0" y="0"/>
            <wp:positionH relativeFrom="column">
              <wp:posOffset>4335780</wp:posOffset>
            </wp:positionH>
            <wp:positionV relativeFrom="paragraph">
              <wp:posOffset>8069580</wp:posOffset>
            </wp:positionV>
            <wp:extent cx="1485900" cy="276225"/>
            <wp:effectExtent l="0" t="0" r="0" b="9525"/>
            <wp:wrapTight wrapText="bothSides">
              <wp:wrapPolygon edited="0">
                <wp:start x="0" y="0"/>
                <wp:lineTo x="0" y="20855"/>
                <wp:lineTo x="21323" y="20855"/>
                <wp:lineTo x="21323" y="0"/>
                <wp:lineTo x="0" y="0"/>
              </wp:wrapPolygon>
            </wp:wrapTight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7778C" w:rsidRPr="005B609F" w:rsidRDefault="005B609F" w:rsidP="00A177F1">
      <w:pPr>
        <w:rPr>
          <w:sz w:val="20"/>
        </w:rPr>
      </w:pPr>
      <w:r>
        <w:rPr>
          <w:sz w:val="20"/>
        </w:rPr>
        <w:t>02.05.2017</w:t>
      </w:r>
    </w:p>
    <w:tbl>
      <w:tblPr>
        <w:tblpPr w:leftFromText="141" w:rightFromText="141" w:vertAnchor="page" w:horzAnchor="margin" w:tblpY="247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"/>
        <w:gridCol w:w="9582"/>
      </w:tblGrid>
      <w:tr w:rsidR="000D2A99" w:rsidTr="00834985">
        <w:tc>
          <w:tcPr>
            <w:tcW w:w="10768" w:type="dxa"/>
            <w:gridSpan w:val="2"/>
            <w:shd w:val="clear" w:color="auto" w:fill="FF9900"/>
          </w:tcPr>
          <w:p w:rsidR="000D2A99" w:rsidRPr="002E7F70" w:rsidRDefault="000D2A99" w:rsidP="002E7F70">
            <w:pPr>
              <w:spacing w:line="360" w:lineRule="atLeast"/>
              <w:jc w:val="center"/>
              <w:rPr>
                <w:sz w:val="28"/>
                <w:szCs w:val="28"/>
              </w:rPr>
            </w:pPr>
            <w:r w:rsidRPr="000D2A99">
              <w:rPr>
                <w:b/>
                <w:color w:val="FFFFFF" w:themeColor="background1"/>
                <w:sz w:val="28"/>
                <w:szCs w:val="28"/>
              </w:rPr>
              <w:t>Anwendungsbereich</w:t>
            </w:r>
          </w:p>
        </w:tc>
      </w:tr>
      <w:tr w:rsidR="00105F52" w:rsidRPr="00F30325" w:rsidTr="00DF1E07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105F52" w:rsidRDefault="00105F52" w:rsidP="00DF1E07">
            <w:pPr>
              <w:spacing w:before="60" w:after="60"/>
              <w:jc w:val="center"/>
            </w:pPr>
          </w:p>
        </w:tc>
        <w:tc>
          <w:tcPr>
            <w:tcW w:w="9582" w:type="dxa"/>
            <w:tcBorders>
              <w:bottom w:val="single" w:sz="4" w:space="0" w:color="auto"/>
            </w:tcBorders>
            <w:vAlign w:val="center"/>
          </w:tcPr>
          <w:p w:rsidR="00A61634" w:rsidRDefault="000D2A99" w:rsidP="00E96E1B">
            <w:pPr>
              <w:rPr>
                <w:sz w:val="20"/>
              </w:rPr>
            </w:pPr>
            <w:r w:rsidRPr="003E735A">
              <w:rPr>
                <w:sz w:val="20"/>
              </w:rPr>
              <w:t xml:space="preserve">Diese Betriebsanweisung gilt für den Umgang mit </w:t>
            </w:r>
            <w:r w:rsidR="00E96E1B">
              <w:rPr>
                <w:b/>
                <w:sz w:val="20"/>
              </w:rPr>
              <w:t>Butyllithium</w:t>
            </w:r>
            <w:r w:rsidR="00D42A20" w:rsidRPr="003E735A">
              <w:rPr>
                <w:sz w:val="20"/>
              </w:rPr>
              <w:t>.</w:t>
            </w:r>
          </w:p>
          <w:p w:rsidR="00E96E1B" w:rsidRPr="00E96E1B" w:rsidRDefault="00E96E1B" w:rsidP="00E96E1B">
            <w:pPr>
              <w:rPr>
                <w:sz w:val="20"/>
              </w:rPr>
            </w:pPr>
            <w:r w:rsidRPr="00E96E1B">
              <w:rPr>
                <w:sz w:val="20"/>
              </w:rPr>
              <w:t>C</w:t>
            </w:r>
            <w:r w:rsidRPr="00E96E1B">
              <w:rPr>
                <w:sz w:val="20"/>
                <w:vertAlign w:val="subscript"/>
              </w:rPr>
              <w:t>4</w:t>
            </w:r>
            <w:r w:rsidRPr="00E96E1B">
              <w:rPr>
                <w:sz w:val="20"/>
              </w:rPr>
              <w:t>H</w:t>
            </w:r>
            <w:r w:rsidRPr="00E96E1B">
              <w:rPr>
                <w:sz w:val="20"/>
                <w:vertAlign w:val="subscript"/>
              </w:rPr>
              <w:t>9</w:t>
            </w:r>
            <w:r w:rsidRPr="00E96E1B">
              <w:rPr>
                <w:sz w:val="20"/>
              </w:rPr>
              <w:t xml:space="preserve">Li; Lithiumbutyl. Lösung in n-Hexan. Gelbliche Flüssigkeit mit charakteristischem Geruch. </w:t>
            </w:r>
          </w:p>
          <w:p w:rsidR="00E96E1B" w:rsidRPr="003E735A" w:rsidRDefault="00E96E1B" w:rsidP="00E96E1B">
            <w:pPr>
              <w:rPr>
                <w:sz w:val="20"/>
              </w:rPr>
            </w:pPr>
            <w:r w:rsidRPr="00E96E1B">
              <w:rPr>
                <w:snapToGrid w:val="0"/>
                <w:sz w:val="20"/>
              </w:rPr>
              <w:t xml:space="preserve">Als </w:t>
            </w:r>
            <w:r w:rsidRPr="00E96E1B">
              <w:rPr>
                <w:i/>
                <w:snapToGrid w:val="0"/>
                <w:sz w:val="20"/>
              </w:rPr>
              <w:t>n, i, s und t</w:t>
            </w:r>
            <w:r w:rsidRPr="00E96E1B">
              <w:rPr>
                <w:snapToGrid w:val="0"/>
                <w:sz w:val="20"/>
              </w:rPr>
              <w:t>-Buli in verschiedenen Konzentrationen verfügbar.</w:t>
            </w:r>
          </w:p>
        </w:tc>
      </w:tr>
      <w:tr w:rsidR="002E7F70" w:rsidTr="000D2A99">
        <w:tc>
          <w:tcPr>
            <w:tcW w:w="10768" w:type="dxa"/>
            <w:gridSpan w:val="2"/>
            <w:shd w:val="clear" w:color="auto" w:fill="FF9900"/>
            <w:vAlign w:val="center"/>
          </w:tcPr>
          <w:p w:rsidR="002E7F70" w:rsidRPr="00FC248A" w:rsidRDefault="000D2A99" w:rsidP="00824381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0D2A99">
              <w:rPr>
                <w:b/>
                <w:color w:val="FFFFFF" w:themeColor="background1"/>
                <w:sz w:val="28"/>
                <w:szCs w:val="28"/>
              </w:rPr>
              <w:t>Gefahren für Mensch und Umwelt</w:t>
            </w:r>
          </w:p>
        </w:tc>
      </w:tr>
      <w:tr w:rsidR="009D79A8" w:rsidTr="00E96E1B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9D79A8" w:rsidRDefault="00C66F97" w:rsidP="009D79A8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" name="Grafik 1" descr="GHS-Symbol 02 Flamme - entzündbare Sto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HS-Symbol 02 Flamme - entzündbare Stof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6E1B" w:rsidRDefault="00C66F97" w:rsidP="009D79A8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1" name="Grafik 11" descr="GHS-Symbol 05 Ätzwirkung - Hautätze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HS-Symbol 05 Ätzwirkung - Hautätz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2" w:type="dxa"/>
            <w:tcBorders>
              <w:bottom w:val="single" w:sz="4" w:space="0" w:color="auto"/>
            </w:tcBorders>
            <w:vAlign w:val="center"/>
          </w:tcPr>
          <w:p w:rsidR="00E96E1B" w:rsidRPr="00E96E1B" w:rsidRDefault="00E96E1B" w:rsidP="00E96E1B">
            <w:pPr>
              <w:rPr>
                <w:sz w:val="20"/>
              </w:rPr>
            </w:pPr>
            <w:r w:rsidRPr="00E96E1B">
              <w:rPr>
                <w:sz w:val="20"/>
              </w:rPr>
              <w:t>Verursacht Verätzungen. Gefahr ernster Gesundheitsschäden bei längerer Exposition durch Einatmen. Gesundheitsschädlich. Kann möglicherweise die Fortpflanzungsfähigkeit beeinträchtigen</w:t>
            </w:r>
            <w:r w:rsidRPr="00E96E1B">
              <w:rPr>
                <w:sz w:val="20"/>
              </w:rPr>
              <w:br/>
              <w:t>Nicht mit Wasser, Oxidationsmitteln, Alkoholen oder Säuren in Berührung bringen. Leicht entzündlich, reagiert heftig mit Wasser unter Bildung hoch entzündlicher Gase. Im Besonderen ist t-Buli in Lösung selbstentzündlich an der Luft aber auch die anderen Lithiumorganyle können sich entzünden. In reiner Form als Feststoff sind alle Lithiumalkyle selbstent</w:t>
            </w:r>
            <w:r>
              <w:rPr>
                <w:sz w:val="20"/>
              </w:rPr>
              <w:t>zündlich an Luft</w:t>
            </w:r>
            <w:r w:rsidRPr="00E96E1B">
              <w:rPr>
                <w:sz w:val="20"/>
              </w:rPr>
              <w:t>!</w:t>
            </w:r>
          </w:p>
          <w:p w:rsidR="009D79A8" w:rsidRPr="009D79A8" w:rsidRDefault="00E96E1B" w:rsidP="00E96E1B">
            <w:pPr>
              <w:rPr>
                <w:snapToGrid w:val="0"/>
                <w:sz w:val="20"/>
              </w:rPr>
            </w:pPr>
            <w:r w:rsidRPr="00E96E1B">
              <w:rPr>
                <w:sz w:val="20"/>
              </w:rPr>
              <w:t>Bei Reaktionen mit Lithiumorganylen ist mit Gasentwic</w:t>
            </w:r>
            <w:r w:rsidR="001805D7">
              <w:rPr>
                <w:sz w:val="20"/>
              </w:rPr>
              <w:t>klung zu r</w:t>
            </w:r>
            <w:r w:rsidRPr="00E96E1B">
              <w:rPr>
                <w:sz w:val="20"/>
              </w:rPr>
              <w:t>echnen.</w:t>
            </w:r>
          </w:p>
        </w:tc>
      </w:tr>
      <w:tr w:rsidR="000F7AB7" w:rsidTr="000D2A99">
        <w:trPr>
          <w:cantSplit/>
        </w:trPr>
        <w:tc>
          <w:tcPr>
            <w:tcW w:w="10768" w:type="dxa"/>
            <w:gridSpan w:val="2"/>
            <w:tcBorders>
              <w:right w:val="single" w:sz="4" w:space="0" w:color="auto"/>
            </w:tcBorders>
            <w:shd w:val="clear" w:color="auto" w:fill="FF9900"/>
            <w:vAlign w:val="center"/>
          </w:tcPr>
          <w:p w:rsidR="000F7AB7" w:rsidRPr="00034E8C" w:rsidRDefault="000D2A99" w:rsidP="00824381">
            <w:pPr>
              <w:pStyle w:val="Heading3"/>
              <w:rPr>
                <w:caps/>
                <w:szCs w:val="28"/>
              </w:rPr>
            </w:pPr>
            <w:r w:rsidRPr="000D2A99">
              <w:rPr>
                <w:szCs w:val="28"/>
              </w:rPr>
              <w:t>Schutzmaßnahmen und Verhaltensregeln</w:t>
            </w:r>
          </w:p>
        </w:tc>
      </w:tr>
      <w:tr w:rsidR="00F30325" w:rsidTr="00BD2AE6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F30325" w:rsidRPr="00F543C2" w:rsidRDefault="00C66F97" w:rsidP="00BD2AE6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7" name="Grafik 17" descr="https://upload.wikimedia.org/wikipedia/commons/thumb/7/7c/ISO_7010_M009.svg/12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upload.wikimedia.org/wikipedia/commons/thumb/7/7c/ISO_7010_M009.svg/12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2" name="Grafik 12" descr="https://upload.wikimedia.org/wikipedia/commons/thumb/0/01/ISO_7010_M004.svg/120px-ISO_7010_M00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0/01/ISO_7010_M004.svg/120px-ISO_7010_M00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6" name="Grafik 16" descr="https://upload.wikimedia.org/wikipedia/commons/thumb/1/10/ISO_7010_M010.svg/120px-ISO_7010_M010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1/10/ISO_7010_M010.svg/120px-ISO_7010_M010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2" w:type="dxa"/>
            <w:tcBorders>
              <w:bottom w:val="single" w:sz="4" w:space="0" w:color="auto"/>
            </w:tcBorders>
            <w:vAlign w:val="center"/>
          </w:tcPr>
          <w:p w:rsidR="00E96E1B" w:rsidRPr="00E96E1B" w:rsidRDefault="00E96E1B" w:rsidP="00E96E1B">
            <w:pPr>
              <w:rPr>
                <w:sz w:val="20"/>
              </w:rPr>
            </w:pPr>
            <w:r w:rsidRPr="00E96E1B">
              <w:rPr>
                <w:sz w:val="20"/>
              </w:rPr>
              <w:t>Behälter dicht geschlossen aufbewahren.</w:t>
            </w:r>
            <w:r w:rsidRPr="00E96E1B">
              <w:rPr>
                <w:rFonts w:ascii="Arial,Bold" w:hAnsi="Arial,Bold" w:cs="Arial,Bold"/>
                <w:bCs/>
                <w:sz w:val="20"/>
              </w:rPr>
              <w:t xml:space="preserve"> In Behältnissen während der Entnahme Schutzgasatmosphäre erhalten.</w:t>
            </w:r>
            <w:r w:rsidRPr="00E96E1B">
              <w:rPr>
                <w:rFonts w:ascii="Arial,Bold" w:hAnsi="Arial,Bold" w:cs="Arial,Bold"/>
                <w:b/>
                <w:bCs/>
                <w:sz w:val="20"/>
              </w:rPr>
              <w:t xml:space="preserve"> </w:t>
            </w:r>
            <w:r w:rsidRPr="00E96E1B">
              <w:rPr>
                <w:sz w:val="20"/>
              </w:rPr>
              <w:t>Gas/Dampf/Aerosol nicht einatmen.</w:t>
            </w:r>
          </w:p>
          <w:p w:rsidR="00B276C6" w:rsidRDefault="00E96E1B" w:rsidP="00E96E1B">
            <w:pPr>
              <w:rPr>
                <w:sz w:val="20"/>
              </w:rPr>
            </w:pPr>
            <w:r w:rsidRPr="00E96E1B">
              <w:rPr>
                <w:sz w:val="20"/>
              </w:rPr>
              <w:t xml:space="preserve">Berührung mit den Augen und der Haut vermeiden. Nur unter Inertgas und in geschlossenen Systemen </w:t>
            </w:r>
            <w:r w:rsidRPr="00E96E1B">
              <w:rPr>
                <w:b/>
                <w:sz w:val="20"/>
              </w:rPr>
              <w:t>mit Druckausgleich</w:t>
            </w:r>
            <w:r w:rsidRPr="00E96E1B">
              <w:rPr>
                <w:sz w:val="20"/>
              </w:rPr>
              <w:t xml:space="preserve"> arbeiten!</w:t>
            </w:r>
          </w:p>
          <w:p w:rsidR="00E96E1B" w:rsidRPr="00E96E1B" w:rsidRDefault="00E96E1B" w:rsidP="00E96E1B">
            <w:pPr>
              <w:rPr>
                <w:sz w:val="16"/>
              </w:rPr>
            </w:pPr>
          </w:p>
          <w:p w:rsidR="00E96E1B" w:rsidRPr="00E96E1B" w:rsidRDefault="00E96E1B" w:rsidP="00E96E1B">
            <w:pPr>
              <w:pStyle w:val="ListParagraph"/>
              <w:numPr>
                <w:ilvl w:val="0"/>
                <w:numId w:val="40"/>
              </w:numPr>
              <w:rPr>
                <w:b/>
                <w:sz w:val="20"/>
              </w:rPr>
            </w:pPr>
            <w:r w:rsidRPr="00E96E1B">
              <w:rPr>
                <w:b/>
                <w:sz w:val="20"/>
              </w:rPr>
              <w:t xml:space="preserve">Körperschutz: </w:t>
            </w:r>
            <w:r w:rsidRPr="00E96E1B">
              <w:rPr>
                <w:sz w:val="20"/>
              </w:rPr>
              <w:t>Bei arbeiten mit Lithiumorganylen ist ein</w:t>
            </w:r>
            <w:r w:rsidR="001805D7">
              <w:rPr>
                <w:b/>
                <w:sz w:val="20"/>
              </w:rPr>
              <w:t xml:space="preserve"> Laborkittel zu tragen</w:t>
            </w:r>
            <w:r w:rsidRPr="00E96E1B">
              <w:rPr>
                <w:b/>
                <w:sz w:val="20"/>
              </w:rPr>
              <w:t>!</w:t>
            </w:r>
          </w:p>
          <w:p w:rsidR="00E96E1B" w:rsidRPr="00E96E1B" w:rsidRDefault="00E96E1B" w:rsidP="00E96E1B">
            <w:pPr>
              <w:pStyle w:val="ListParagraph"/>
              <w:numPr>
                <w:ilvl w:val="0"/>
                <w:numId w:val="40"/>
              </w:numPr>
              <w:rPr>
                <w:sz w:val="20"/>
              </w:rPr>
            </w:pPr>
            <w:r w:rsidRPr="00E96E1B">
              <w:rPr>
                <w:b/>
                <w:sz w:val="20"/>
              </w:rPr>
              <w:t xml:space="preserve">Augenschutz: </w:t>
            </w:r>
            <w:r w:rsidRPr="00E96E1B">
              <w:rPr>
                <w:sz w:val="20"/>
              </w:rPr>
              <w:t>Dicht schließende Schutzbrille (Korbbrille), auch Sehbrillenträger!</w:t>
            </w:r>
          </w:p>
          <w:p w:rsidR="00E96E1B" w:rsidRPr="00E96E1B" w:rsidRDefault="001805D7" w:rsidP="00E96E1B">
            <w:pPr>
              <w:pStyle w:val="ListParagraph"/>
              <w:numPr>
                <w:ilvl w:val="0"/>
                <w:numId w:val="40"/>
              </w:numPr>
              <w:rPr>
                <w:sz w:val="20"/>
              </w:rPr>
            </w:pPr>
            <w:r w:rsidRPr="00E96E1B">
              <w:rPr>
                <w:b/>
                <w:sz w:val="20"/>
              </w:rPr>
              <w:t>Handschutz:</w:t>
            </w:r>
            <w:r>
              <w:rPr>
                <w:sz w:val="20"/>
              </w:rPr>
              <w:t xml:space="preserve"> </w:t>
            </w:r>
            <w:r w:rsidR="00E96E1B" w:rsidRPr="00E96E1B">
              <w:rPr>
                <w:sz w:val="20"/>
              </w:rPr>
              <w:t>Als reiner Spritzschutz sind Handschuhe aus Neopren geeignet, wenn sie bei Stoffkontakt sofort gewechselt werden.</w:t>
            </w:r>
          </w:p>
          <w:p w:rsidR="00E96E1B" w:rsidRPr="00E96E1B" w:rsidRDefault="00E96E1B" w:rsidP="00E96E1B">
            <w:pPr>
              <w:pStyle w:val="ListParagraph"/>
              <w:numPr>
                <w:ilvl w:val="0"/>
                <w:numId w:val="40"/>
              </w:numPr>
              <w:rPr>
                <w:sz w:val="20"/>
              </w:rPr>
            </w:pPr>
            <w:r w:rsidRPr="00E96E1B">
              <w:rPr>
                <w:b/>
                <w:sz w:val="20"/>
              </w:rPr>
              <w:t xml:space="preserve">Atemschutz: </w:t>
            </w:r>
            <w:r w:rsidRPr="00E96E1B">
              <w:rPr>
                <w:sz w:val="20"/>
              </w:rPr>
              <w:t xml:space="preserve">Bei Arbeiten unter Abzug oder Absaugung oder bei kurzfristigem Einsatz geringer Mengen nicht erforderlich. Bei längerem offenem Umgang Atemschutzmaske, Gasfilter </w:t>
            </w:r>
            <w:r w:rsidRPr="00E96E1B">
              <w:rPr>
                <w:rFonts w:cs="Arial"/>
                <w:sz w:val="20"/>
                <w:szCs w:val="18"/>
              </w:rPr>
              <w:t>ABEK</w:t>
            </w:r>
            <w:r w:rsidRPr="00E96E1B">
              <w:rPr>
                <w:sz w:val="20"/>
              </w:rPr>
              <w:t xml:space="preserve"> tragen.</w:t>
            </w:r>
          </w:p>
          <w:p w:rsidR="00B276C6" w:rsidRPr="00E96E1B" w:rsidRDefault="00E96E1B" w:rsidP="00E96E1B">
            <w:pPr>
              <w:pStyle w:val="ListParagraph"/>
              <w:numPr>
                <w:ilvl w:val="0"/>
                <w:numId w:val="40"/>
              </w:numPr>
              <w:rPr>
                <w:snapToGrid w:val="0"/>
                <w:sz w:val="20"/>
              </w:rPr>
            </w:pPr>
            <w:r w:rsidRPr="00E96E1B">
              <w:rPr>
                <w:b/>
                <w:sz w:val="20"/>
              </w:rPr>
              <w:t xml:space="preserve">Hautschutz: </w:t>
            </w:r>
            <w:r w:rsidRPr="00E96E1B">
              <w:rPr>
                <w:sz w:val="20"/>
              </w:rPr>
              <w:t>Regelmäßig Hautpflegemittel verwenden.</w:t>
            </w:r>
          </w:p>
        </w:tc>
      </w:tr>
      <w:tr w:rsidR="00F30325" w:rsidTr="000D2A99">
        <w:trPr>
          <w:cantSplit/>
        </w:trPr>
        <w:tc>
          <w:tcPr>
            <w:tcW w:w="10768" w:type="dxa"/>
            <w:gridSpan w:val="2"/>
            <w:shd w:val="clear" w:color="auto" w:fill="FF9900"/>
            <w:vAlign w:val="center"/>
          </w:tcPr>
          <w:p w:rsidR="00F30325" w:rsidRPr="0085650F" w:rsidRDefault="00F30325" w:rsidP="00824381">
            <w:pPr>
              <w:pStyle w:val="Heading3"/>
              <w:rPr>
                <w:caps/>
              </w:rPr>
            </w:pPr>
            <w:r w:rsidRPr="000D2A99">
              <w:rPr>
                <w:szCs w:val="28"/>
              </w:rPr>
              <w:t>Verhalten im Gefahrfall</w:t>
            </w:r>
          </w:p>
        </w:tc>
      </w:tr>
      <w:tr w:rsidR="00F40DF3" w:rsidTr="00FC248A">
        <w:tc>
          <w:tcPr>
            <w:tcW w:w="1186" w:type="dxa"/>
            <w:tcBorders>
              <w:bottom w:val="single" w:sz="4" w:space="0" w:color="auto"/>
            </w:tcBorders>
          </w:tcPr>
          <w:p w:rsidR="00F40DF3" w:rsidRPr="00105F52" w:rsidRDefault="00F40DF3" w:rsidP="00F40DF3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582" w:type="dxa"/>
            <w:tcBorders>
              <w:bottom w:val="single" w:sz="4" w:space="0" w:color="auto"/>
            </w:tcBorders>
          </w:tcPr>
          <w:p w:rsidR="00E96E1B" w:rsidRPr="00E96E1B" w:rsidRDefault="00E96E1B" w:rsidP="00E96E1B">
            <w:pPr>
              <w:rPr>
                <w:sz w:val="20"/>
              </w:rPr>
            </w:pPr>
            <w:r w:rsidRPr="00E96E1B">
              <w:rPr>
                <w:sz w:val="20"/>
              </w:rPr>
              <w:t>Beim Freiwerden von Gasen, Dämpfen oder Nebel und Flüssigkeiten umgehend den Raum verlassen, dabei nach Möglichkeit Fenster öffnen. Wiedereintritt nur unter Atemschutz (Maske mit ABEK-Filter).</w:t>
            </w:r>
          </w:p>
          <w:p w:rsidR="00E96E1B" w:rsidRPr="00E96E1B" w:rsidRDefault="00E96E1B" w:rsidP="00E96E1B">
            <w:pPr>
              <w:rPr>
                <w:sz w:val="20"/>
              </w:rPr>
            </w:pPr>
            <w:r w:rsidRPr="00E96E1B">
              <w:rPr>
                <w:sz w:val="20"/>
              </w:rPr>
              <w:t>Verschüttete Mengen ggf. ab</w:t>
            </w:r>
            <w:r w:rsidR="0047778C">
              <w:rPr>
                <w:sz w:val="20"/>
              </w:rPr>
              <w:t>b</w:t>
            </w:r>
            <w:r w:rsidRPr="00E96E1B">
              <w:rPr>
                <w:sz w:val="20"/>
              </w:rPr>
              <w:t>rennen bzw. an Luft abreagieren lassen.</w:t>
            </w:r>
          </w:p>
          <w:p w:rsidR="00F40DF3" w:rsidRPr="00E96E1B" w:rsidRDefault="00E96E1B" w:rsidP="00E96E1B">
            <w:pPr>
              <w:rPr>
                <w:b/>
                <w:sz w:val="20"/>
              </w:rPr>
            </w:pPr>
            <w:r w:rsidRPr="00E96E1B">
              <w:rPr>
                <w:sz w:val="20"/>
              </w:rPr>
              <w:t>Im Brandfall nach Möglichkeit sofort Löschmaßnahmen mit Löscher der Brandklasse D einleiten. Fenster geschlossen halten! Bewusstlose und/oder hilflose Personen aus dem Gefahrenbereich bringen, Gefährdete Personen im näheren Umkreis warnen.</w:t>
            </w:r>
          </w:p>
        </w:tc>
      </w:tr>
      <w:tr w:rsidR="00F40DF3" w:rsidTr="000D2A99">
        <w:trPr>
          <w:cantSplit/>
        </w:trPr>
        <w:tc>
          <w:tcPr>
            <w:tcW w:w="10768" w:type="dxa"/>
            <w:gridSpan w:val="2"/>
            <w:shd w:val="clear" w:color="auto" w:fill="FF9900"/>
            <w:vAlign w:val="center"/>
          </w:tcPr>
          <w:p w:rsidR="00F40DF3" w:rsidRPr="0085650F" w:rsidRDefault="00F40DF3" w:rsidP="00824381">
            <w:pPr>
              <w:pStyle w:val="Heading3"/>
              <w:rPr>
                <w:caps/>
              </w:rPr>
            </w:pPr>
            <w:r w:rsidRPr="000D2A99">
              <w:rPr>
                <w:szCs w:val="28"/>
              </w:rPr>
              <w:t>Verhalten bei Unfällen, Erste Hilfe</w:t>
            </w:r>
          </w:p>
        </w:tc>
      </w:tr>
      <w:tr w:rsidR="00F40DF3" w:rsidTr="00BD2AE6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F40DF3" w:rsidRDefault="007E5729" w:rsidP="00BD2AE6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5" name="Grafik 15" descr="https://upload.wikimedia.org/wikipedia/commons/thumb/0/0e/ISO_7010_E003_-_First_aid_sign.svg/120px-ISO_7010_E003_-_First_aid_sig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upload.wikimedia.org/wikipedia/commons/thumb/0/0e/ISO_7010_E003_-_First_aid_sign.svg/120px-ISO_7010_E003_-_First_aid_sig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5729" w:rsidRDefault="007E5729" w:rsidP="00BD2AE6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4" name="Grafik 14" descr="https://upload.wikimedia.org/wikipedia/commons/thumb/1/13/ISO_7010_E011.svg/120px-ISO_7010_E01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1/13/ISO_7010_E011.svg/120px-ISO_7010_E01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2" w:type="dxa"/>
            <w:tcBorders>
              <w:bottom w:val="single" w:sz="4" w:space="0" w:color="auto"/>
            </w:tcBorders>
          </w:tcPr>
          <w:p w:rsidR="00E96E1B" w:rsidRPr="00E96E1B" w:rsidRDefault="00E96E1B" w:rsidP="00E96E1B">
            <w:pPr>
              <w:rPr>
                <w:sz w:val="20"/>
              </w:rPr>
            </w:pPr>
            <w:r w:rsidRPr="00E96E1B">
              <w:rPr>
                <w:b/>
                <w:snapToGrid w:val="0"/>
                <w:sz w:val="20"/>
              </w:rPr>
              <w:t xml:space="preserve">Bei Unwohlsein sofort Arzt aufsuchen, </w:t>
            </w:r>
            <w:r w:rsidRPr="00E96E1B">
              <w:rPr>
                <w:sz w:val="20"/>
              </w:rPr>
              <w:t>möglichst Stoffetikett bzw. CAS-Nummer mitnehmen!</w:t>
            </w:r>
          </w:p>
          <w:p w:rsidR="00E96E1B" w:rsidRPr="00E96E1B" w:rsidRDefault="00E96E1B" w:rsidP="00E96E1B">
            <w:pPr>
              <w:pStyle w:val="ListParagraph"/>
              <w:numPr>
                <w:ilvl w:val="0"/>
                <w:numId w:val="41"/>
              </w:numPr>
              <w:rPr>
                <w:snapToGrid w:val="0"/>
                <w:sz w:val="20"/>
              </w:rPr>
            </w:pPr>
            <w:r w:rsidRPr="00E96E1B">
              <w:rPr>
                <w:b/>
                <w:snapToGrid w:val="0"/>
                <w:sz w:val="20"/>
              </w:rPr>
              <w:t xml:space="preserve">Nach Augenkontakt: </w:t>
            </w:r>
            <w:r w:rsidRPr="00E96E1B">
              <w:rPr>
                <w:snapToGrid w:val="0"/>
                <w:sz w:val="20"/>
              </w:rPr>
              <w:t xml:space="preserve">Sofort unter fließendem Wasser bei gespreiztem Lid unter Schutz des unverletzten Auges mind. 10 min spülen.  Augenarzt bzw. Notruf! </w:t>
            </w:r>
          </w:p>
          <w:p w:rsidR="00E96E1B" w:rsidRPr="00E96E1B" w:rsidRDefault="00E96E1B" w:rsidP="00E96E1B">
            <w:pPr>
              <w:pStyle w:val="ListParagraph"/>
              <w:numPr>
                <w:ilvl w:val="0"/>
                <w:numId w:val="41"/>
              </w:numPr>
              <w:rPr>
                <w:snapToGrid w:val="0"/>
                <w:sz w:val="20"/>
              </w:rPr>
            </w:pPr>
            <w:r w:rsidRPr="00E96E1B">
              <w:rPr>
                <w:b/>
                <w:snapToGrid w:val="0"/>
                <w:sz w:val="20"/>
              </w:rPr>
              <w:t xml:space="preserve">Nach Hautkontakt: </w:t>
            </w:r>
            <w:r w:rsidRPr="00E96E1B">
              <w:rPr>
                <w:snapToGrid w:val="0"/>
                <w:sz w:val="20"/>
              </w:rPr>
              <w:t>Mit viel Wasser und Seife abspülen.</w:t>
            </w:r>
          </w:p>
          <w:p w:rsidR="00E96E1B" w:rsidRPr="00E96E1B" w:rsidRDefault="00E96E1B" w:rsidP="00E96E1B">
            <w:pPr>
              <w:pStyle w:val="ListParagraph"/>
              <w:numPr>
                <w:ilvl w:val="0"/>
                <w:numId w:val="41"/>
              </w:numPr>
              <w:rPr>
                <w:snapToGrid w:val="0"/>
                <w:sz w:val="20"/>
              </w:rPr>
            </w:pPr>
            <w:r w:rsidRPr="00E96E1B">
              <w:rPr>
                <w:b/>
                <w:snapToGrid w:val="0"/>
                <w:sz w:val="20"/>
              </w:rPr>
              <w:t xml:space="preserve">Nach Einatmen: </w:t>
            </w:r>
            <w:r w:rsidRPr="00E96E1B">
              <w:rPr>
                <w:snapToGrid w:val="0"/>
                <w:sz w:val="20"/>
              </w:rPr>
              <w:t>Frischluft; bei Beschwerden Arzt aufsuchen bzw. Notruf.</w:t>
            </w:r>
          </w:p>
          <w:p w:rsidR="00E96E1B" w:rsidRPr="00E96E1B" w:rsidRDefault="00E96E1B" w:rsidP="00E96E1B">
            <w:pPr>
              <w:pStyle w:val="ListParagraph"/>
              <w:numPr>
                <w:ilvl w:val="0"/>
                <w:numId w:val="41"/>
              </w:numPr>
              <w:rPr>
                <w:snapToGrid w:val="0"/>
                <w:sz w:val="20"/>
              </w:rPr>
            </w:pPr>
            <w:r w:rsidRPr="00E96E1B">
              <w:rPr>
                <w:b/>
                <w:snapToGrid w:val="0"/>
                <w:sz w:val="20"/>
              </w:rPr>
              <w:t xml:space="preserve">Nach Verschlucken: </w:t>
            </w:r>
            <w:r w:rsidRPr="00E96E1B">
              <w:rPr>
                <w:snapToGrid w:val="0"/>
                <w:sz w:val="20"/>
              </w:rPr>
              <w:t xml:space="preserve">Erbrechen </w:t>
            </w:r>
            <w:r w:rsidRPr="00E96E1B">
              <w:rPr>
                <w:b/>
                <w:snapToGrid w:val="0"/>
                <w:sz w:val="20"/>
              </w:rPr>
              <w:t>nicht anregen</w:t>
            </w:r>
            <w:r w:rsidRPr="00E96E1B">
              <w:rPr>
                <w:snapToGrid w:val="0"/>
                <w:sz w:val="20"/>
              </w:rPr>
              <w:t>, Aspirationsgefahr. Sofort reichlich Wasser mit Medizinalkoh</w:t>
            </w:r>
            <w:r>
              <w:rPr>
                <w:snapToGrid w:val="0"/>
                <w:sz w:val="20"/>
              </w:rPr>
              <w:t>ol</w:t>
            </w:r>
            <w:r w:rsidRPr="00E96E1B">
              <w:rPr>
                <w:snapToGrid w:val="0"/>
                <w:sz w:val="20"/>
              </w:rPr>
              <w:t xml:space="preserve"> (3 Essl. je Glas Wasser aufgeschlämmt) trinken lassen. Sofort Arzt bzw. Notruf!</w:t>
            </w:r>
          </w:p>
          <w:p w:rsidR="00E96E1B" w:rsidRPr="00C66F97" w:rsidRDefault="00E96E1B" w:rsidP="00C66F97">
            <w:pPr>
              <w:pStyle w:val="ListParagraph"/>
              <w:numPr>
                <w:ilvl w:val="0"/>
                <w:numId w:val="41"/>
              </w:numPr>
              <w:rPr>
                <w:sz w:val="16"/>
              </w:rPr>
            </w:pPr>
            <w:r w:rsidRPr="00E96E1B">
              <w:rPr>
                <w:b/>
                <w:sz w:val="20"/>
              </w:rPr>
              <w:t xml:space="preserve">Nach Kleidungskontakt: </w:t>
            </w:r>
            <w:r w:rsidRPr="00E96E1B">
              <w:rPr>
                <w:sz w:val="20"/>
              </w:rPr>
              <w:t>Benetzte Kleidung sofort ablegen, Brandgefahr! Auf Hautkontakt achten.</w:t>
            </w:r>
          </w:p>
          <w:p w:rsidR="00C66F97" w:rsidRPr="00C66F97" w:rsidRDefault="00C66F97" w:rsidP="00C66F97">
            <w:pPr>
              <w:rPr>
                <w:sz w:val="16"/>
              </w:rPr>
            </w:pPr>
          </w:p>
          <w:p w:rsidR="00F40DF3" w:rsidRPr="003E735A" w:rsidRDefault="00F40DF3" w:rsidP="003E735A">
            <w:pPr>
              <w:rPr>
                <w:sz w:val="20"/>
              </w:rPr>
            </w:pPr>
            <w:r w:rsidRPr="00A61634">
              <w:rPr>
                <w:b/>
              </w:rPr>
              <w:t>Notruf: 112</w:t>
            </w:r>
            <w:r w:rsidRPr="003E735A">
              <w:rPr>
                <w:b/>
                <w:sz w:val="20"/>
              </w:rPr>
              <w:t xml:space="preserve">  </w:t>
            </w:r>
            <w:r w:rsidRPr="003E735A">
              <w:rPr>
                <w:sz w:val="20"/>
              </w:rPr>
              <w:t xml:space="preserve">              Ersthelfer:  Dr. Matthias Stolte</w:t>
            </w:r>
          </w:p>
        </w:tc>
      </w:tr>
      <w:tr w:rsidR="007E5729" w:rsidTr="007E5729">
        <w:tc>
          <w:tcPr>
            <w:tcW w:w="1186" w:type="dxa"/>
            <w:tcBorders>
              <w:bottom w:val="single" w:sz="4" w:space="0" w:color="auto"/>
            </w:tcBorders>
            <w:shd w:val="clear" w:color="auto" w:fill="FF9900"/>
          </w:tcPr>
          <w:p w:rsidR="007E5729" w:rsidRDefault="007E5729" w:rsidP="007E5729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9582" w:type="dxa"/>
            <w:tcBorders>
              <w:bottom w:val="single" w:sz="4" w:space="0" w:color="auto"/>
            </w:tcBorders>
            <w:shd w:val="clear" w:color="auto" w:fill="FF9900"/>
            <w:vAlign w:val="center"/>
          </w:tcPr>
          <w:p w:rsidR="007E5729" w:rsidRPr="000D2A99" w:rsidRDefault="007E5729" w:rsidP="00824381">
            <w:pPr>
              <w:pStyle w:val="Heading3"/>
              <w:rPr>
                <w:szCs w:val="28"/>
              </w:rPr>
            </w:pPr>
            <w:r>
              <w:rPr>
                <w:szCs w:val="28"/>
              </w:rPr>
              <w:t>Sachgerechte Entsorgung</w:t>
            </w:r>
          </w:p>
        </w:tc>
      </w:tr>
      <w:tr w:rsidR="007E5729" w:rsidTr="006C5333">
        <w:tc>
          <w:tcPr>
            <w:tcW w:w="1186" w:type="dxa"/>
            <w:tcBorders>
              <w:bottom w:val="single" w:sz="4" w:space="0" w:color="auto"/>
            </w:tcBorders>
          </w:tcPr>
          <w:p w:rsidR="007E5729" w:rsidRDefault="007E5729" w:rsidP="007E5729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9582" w:type="dxa"/>
            <w:tcBorders>
              <w:bottom w:val="single" w:sz="4" w:space="0" w:color="auto"/>
            </w:tcBorders>
            <w:vAlign w:val="center"/>
          </w:tcPr>
          <w:p w:rsidR="007E5729" w:rsidRPr="00E96E1B" w:rsidRDefault="00E96E1B" w:rsidP="00E96E1B">
            <w:pPr>
              <w:rPr>
                <w:sz w:val="20"/>
              </w:rPr>
            </w:pPr>
            <w:r w:rsidRPr="00E96E1B">
              <w:rPr>
                <w:sz w:val="20"/>
              </w:rPr>
              <w:t xml:space="preserve">In trockenem, inertem Lösemittel, z.B. Hexan vorlegen, vorsichtig mit trockenem Butanol versetzen. Nach beendeter Reaktion Wasser und anschließend 2N Salzsäure zugeben. Als halogenhaltige, organische Lösemittelabfälle entsorgen. </w:t>
            </w:r>
            <w:r w:rsidRPr="00E96E1B">
              <w:rPr>
                <w:noProof/>
                <w:sz w:val="20"/>
              </w:rPr>
              <w:t>(Kontakt: Frau Rubens Tel. 84711).</w:t>
            </w:r>
          </w:p>
        </w:tc>
      </w:tr>
    </w:tbl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11"/>
        <w:gridCol w:w="5701"/>
      </w:tblGrid>
      <w:tr w:rsidR="000F7AB7" w:rsidTr="00622BA4">
        <w:tc>
          <w:tcPr>
            <w:tcW w:w="5211" w:type="dxa"/>
          </w:tcPr>
          <w:p w:rsidR="000F7AB7" w:rsidRDefault="000F7AB7" w:rsidP="00622BA4">
            <w:r>
              <w:t xml:space="preserve"> </w:t>
            </w:r>
            <w:r w:rsidR="00092FC1">
              <w:t xml:space="preserve">                 …………………………….</w:t>
            </w:r>
          </w:p>
          <w:p w:rsidR="000F7AB7" w:rsidRDefault="00092FC1" w:rsidP="00092FC1">
            <w:r>
              <w:t xml:space="preserve">                 Datum</w:t>
            </w:r>
          </w:p>
        </w:tc>
        <w:tc>
          <w:tcPr>
            <w:tcW w:w="5701" w:type="dxa"/>
          </w:tcPr>
          <w:p w:rsidR="000F7AB7" w:rsidRDefault="00092FC1" w:rsidP="00622BA4">
            <w:r>
              <w:t xml:space="preserve">             ……………………………………….</w:t>
            </w:r>
          </w:p>
          <w:p w:rsidR="000F7AB7" w:rsidRDefault="00092FC1" w:rsidP="00092FC1">
            <w:r>
              <w:t xml:space="preserve">             </w:t>
            </w:r>
            <w:r w:rsidR="000F7AB7">
              <w:t>Unterschrift</w:t>
            </w:r>
            <w:r>
              <w:t xml:space="preserve"> Verantwortlicher</w:t>
            </w:r>
          </w:p>
        </w:tc>
      </w:tr>
    </w:tbl>
    <w:p w:rsidR="00521380" w:rsidRDefault="00521380" w:rsidP="0047778C"/>
    <w:sectPr w:rsidR="00521380">
      <w:pgSz w:w="11906" w:h="16838" w:code="9"/>
      <w:pgMar w:top="567" w:right="567" w:bottom="79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180" w:rsidRDefault="00714180">
      <w:r>
        <w:separator/>
      </w:r>
    </w:p>
  </w:endnote>
  <w:endnote w:type="continuationSeparator" w:id="0">
    <w:p w:rsidR="00714180" w:rsidRDefault="0071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180" w:rsidRDefault="00714180">
      <w:r>
        <w:separator/>
      </w:r>
    </w:p>
  </w:footnote>
  <w:footnote w:type="continuationSeparator" w:id="0">
    <w:p w:rsidR="00714180" w:rsidRDefault="00714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35E1A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A65F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FA6E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3CF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A464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619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0273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7C70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0EB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E04E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95A47"/>
    <w:multiLevelType w:val="hybridMultilevel"/>
    <w:tmpl w:val="316C6A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89692B"/>
    <w:multiLevelType w:val="hybridMultilevel"/>
    <w:tmpl w:val="43768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235F73"/>
    <w:multiLevelType w:val="hybridMultilevel"/>
    <w:tmpl w:val="0D7A68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850AC8"/>
    <w:multiLevelType w:val="hybridMultilevel"/>
    <w:tmpl w:val="BBF89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842080"/>
    <w:multiLevelType w:val="hybridMultilevel"/>
    <w:tmpl w:val="27BA5078"/>
    <w:lvl w:ilvl="0" w:tplc="D64EFCBE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A26A64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249D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5AED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827B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661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D6F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20B2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B4E5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766CE8"/>
    <w:multiLevelType w:val="hybridMultilevel"/>
    <w:tmpl w:val="ACFCDF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857D5D"/>
    <w:multiLevelType w:val="hybridMultilevel"/>
    <w:tmpl w:val="69961344"/>
    <w:lvl w:ilvl="0" w:tplc="EC0AEE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996F1F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8A10E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6FEACC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2E8FDB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644BB8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29052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C9EFDD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DC643B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277BC2"/>
    <w:multiLevelType w:val="hybridMultilevel"/>
    <w:tmpl w:val="2AAA3060"/>
    <w:lvl w:ilvl="0" w:tplc="C4B267A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  <w:u w:color="000000"/>
      </w:rPr>
    </w:lvl>
    <w:lvl w:ilvl="1" w:tplc="DD26B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4A99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747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2C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D2D8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BC39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7A8D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CC8B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AE7D51"/>
    <w:multiLevelType w:val="hybridMultilevel"/>
    <w:tmpl w:val="E2186EF8"/>
    <w:lvl w:ilvl="0" w:tplc="0407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9" w15:restartNumberingAfterBreak="0">
    <w:nsid w:val="263F04DE"/>
    <w:multiLevelType w:val="hybridMultilevel"/>
    <w:tmpl w:val="FBB01D46"/>
    <w:lvl w:ilvl="0" w:tplc="9166A47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23BC6A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2860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21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B26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747B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7253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747F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7865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2C6C82"/>
    <w:multiLevelType w:val="hybridMultilevel"/>
    <w:tmpl w:val="0006485A"/>
    <w:lvl w:ilvl="0" w:tplc="A148EF9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98E075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6612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186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A0A7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7C15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4E24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2A0A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5CF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7C4685"/>
    <w:multiLevelType w:val="hybridMultilevel"/>
    <w:tmpl w:val="2828E876"/>
    <w:lvl w:ilvl="0" w:tplc="D1B46A4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B1A6A2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9620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1AD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D81C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A03C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60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2AD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D61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CD638F"/>
    <w:multiLevelType w:val="hybridMultilevel"/>
    <w:tmpl w:val="C6902DC2"/>
    <w:lvl w:ilvl="0" w:tplc="B144EEA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4E1AA6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A3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E6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7F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76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83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60DE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5607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AF73A2"/>
    <w:multiLevelType w:val="hybridMultilevel"/>
    <w:tmpl w:val="BEC2B1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B517C8"/>
    <w:multiLevelType w:val="hybridMultilevel"/>
    <w:tmpl w:val="1D4E9DD4"/>
    <w:lvl w:ilvl="0" w:tplc="3B0835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7050C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5DE19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35899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09A071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7E88F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53EE8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BEE967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8B044B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6C01B8"/>
    <w:multiLevelType w:val="hybridMultilevel"/>
    <w:tmpl w:val="3A4CC57C"/>
    <w:lvl w:ilvl="0" w:tplc="BCD0FF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CAB5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15E5F7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92AA75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B9A818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73EFFA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55A5DA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E1E6E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9723F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751CC6"/>
    <w:multiLevelType w:val="hybridMultilevel"/>
    <w:tmpl w:val="00A883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B6A48"/>
    <w:multiLevelType w:val="hybridMultilevel"/>
    <w:tmpl w:val="507C1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0237C9"/>
    <w:multiLevelType w:val="hybridMultilevel"/>
    <w:tmpl w:val="B56EF2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A4081"/>
    <w:multiLevelType w:val="hybridMultilevel"/>
    <w:tmpl w:val="B616D7E0"/>
    <w:lvl w:ilvl="0" w:tplc="CEA405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46CCD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79C8BA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59A572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DC05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A4CBD2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15ADC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5749B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2B034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AA51FB"/>
    <w:multiLevelType w:val="hybridMultilevel"/>
    <w:tmpl w:val="9BBC2476"/>
    <w:lvl w:ilvl="0" w:tplc="0407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31" w15:restartNumberingAfterBreak="0">
    <w:nsid w:val="5221745B"/>
    <w:multiLevelType w:val="hybridMultilevel"/>
    <w:tmpl w:val="3C667336"/>
    <w:lvl w:ilvl="0" w:tplc="5FE42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622CB0"/>
    <w:multiLevelType w:val="hybridMultilevel"/>
    <w:tmpl w:val="310AD05E"/>
    <w:lvl w:ilvl="0" w:tplc="64324526">
      <w:start w:val="1"/>
      <w:numFmt w:val="bullet"/>
      <w:lvlText w:val=""/>
      <w:lvlJc w:val="left"/>
      <w:pPr>
        <w:tabs>
          <w:tab w:val="num" w:pos="964"/>
        </w:tabs>
        <w:ind w:left="964" w:hanging="396"/>
      </w:pPr>
      <w:rPr>
        <w:rFonts w:ascii="Symbol" w:hAnsi="Symbol" w:hint="default"/>
      </w:rPr>
    </w:lvl>
    <w:lvl w:ilvl="1" w:tplc="17ECF72A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9A426940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AF80A1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92DA18B6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504E1E5A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A34ABEC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39D8A1B2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D0606A5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5322E2E"/>
    <w:multiLevelType w:val="hybridMultilevel"/>
    <w:tmpl w:val="777677B6"/>
    <w:lvl w:ilvl="0" w:tplc="21483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D5313"/>
    <w:multiLevelType w:val="hybridMultilevel"/>
    <w:tmpl w:val="75941E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C19F2"/>
    <w:multiLevelType w:val="hybridMultilevel"/>
    <w:tmpl w:val="0E0432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854146"/>
    <w:multiLevelType w:val="hybridMultilevel"/>
    <w:tmpl w:val="BE10EE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741383"/>
    <w:multiLevelType w:val="hybridMultilevel"/>
    <w:tmpl w:val="81BEC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A449CA"/>
    <w:multiLevelType w:val="hybridMultilevel"/>
    <w:tmpl w:val="35AC7A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2D13F8"/>
    <w:multiLevelType w:val="hybridMultilevel"/>
    <w:tmpl w:val="8BF83C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1D09EF"/>
    <w:multiLevelType w:val="hybridMultilevel"/>
    <w:tmpl w:val="B2723DAE"/>
    <w:lvl w:ilvl="0" w:tplc="93D4D624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DA28F3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262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7895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706F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5AD3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2E40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5C2C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24E9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1"/>
  </w:num>
  <w:num w:numId="4">
    <w:abstractNumId w:val="40"/>
  </w:num>
  <w:num w:numId="5">
    <w:abstractNumId w:val="32"/>
  </w:num>
  <w:num w:numId="6">
    <w:abstractNumId w:val="20"/>
  </w:num>
  <w:num w:numId="7">
    <w:abstractNumId w:val="14"/>
  </w:num>
  <w:num w:numId="8">
    <w:abstractNumId w:val="24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25"/>
  </w:num>
  <w:num w:numId="12">
    <w:abstractNumId w:val="16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8"/>
  </w:num>
  <w:num w:numId="24">
    <w:abstractNumId w:val="15"/>
  </w:num>
  <w:num w:numId="25">
    <w:abstractNumId w:val="30"/>
  </w:num>
  <w:num w:numId="26">
    <w:abstractNumId w:val="11"/>
  </w:num>
  <w:num w:numId="27">
    <w:abstractNumId w:val="34"/>
  </w:num>
  <w:num w:numId="28">
    <w:abstractNumId w:val="13"/>
  </w:num>
  <w:num w:numId="29">
    <w:abstractNumId w:val="18"/>
  </w:num>
  <w:num w:numId="30">
    <w:abstractNumId w:val="37"/>
  </w:num>
  <w:num w:numId="31">
    <w:abstractNumId w:val="39"/>
  </w:num>
  <w:num w:numId="32">
    <w:abstractNumId w:val="35"/>
  </w:num>
  <w:num w:numId="33">
    <w:abstractNumId w:val="12"/>
  </w:num>
  <w:num w:numId="34">
    <w:abstractNumId w:val="38"/>
  </w:num>
  <w:num w:numId="35">
    <w:abstractNumId w:val="36"/>
  </w:num>
  <w:num w:numId="36">
    <w:abstractNumId w:val="31"/>
  </w:num>
  <w:num w:numId="37">
    <w:abstractNumId w:val="26"/>
  </w:num>
  <w:num w:numId="38">
    <w:abstractNumId w:val="10"/>
  </w:num>
  <w:num w:numId="39">
    <w:abstractNumId w:val="23"/>
  </w:num>
  <w:num w:numId="40">
    <w:abstractNumId w:val="27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0F"/>
    <w:rsid w:val="00034E8C"/>
    <w:rsid w:val="00051236"/>
    <w:rsid w:val="000745E3"/>
    <w:rsid w:val="00092FC1"/>
    <w:rsid w:val="000D2A99"/>
    <w:rsid w:val="000F60F9"/>
    <w:rsid w:val="000F7AB7"/>
    <w:rsid w:val="00105F52"/>
    <w:rsid w:val="00134F75"/>
    <w:rsid w:val="001475DC"/>
    <w:rsid w:val="0015761D"/>
    <w:rsid w:val="001805D7"/>
    <w:rsid w:val="001B3897"/>
    <w:rsid w:val="001E6E35"/>
    <w:rsid w:val="002061CF"/>
    <w:rsid w:val="0021497F"/>
    <w:rsid w:val="0029530E"/>
    <w:rsid w:val="002C59EA"/>
    <w:rsid w:val="002E7F70"/>
    <w:rsid w:val="00354233"/>
    <w:rsid w:val="0035766F"/>
    <w:rsid w:val="003C5550"/>
    <w:rsid w:val="003E735A"/>
    <w:rsid w:val="0047778C"/>
    <w:rsid w:val="004A7B8B"/>
    <w:rsid w:val="004F15FA"/>
    <w:rsid w:val="004F24BB"/>
    <w:rsid w:val="00521380"/>
    <w:rsid w:val="005B609F"/>
    <w:rsid w:val="005F3320"/>
    <w:rsid w:val="006264B1"/>
    <w:rsid w:val="00633564"/>
    <w:rsid w:val="00657F7F"/>
    <w:rsid w:val="00686927"/>
    <w:rsid w:val="006C07A9"/>
    <w:rsid w:val="006D6A44"/>
    <w:rsid w:val="00714180"/>
    <w:rsid w:val="007E5729"/>
    <w:rsid w:val="00824381"/>
    <w:rsid w:val="00826896"/>
    <w:rsid w:val="0085650F"/>
    <w:rsid w:val="00932A9A"/>
    <w:rsid w:val="00945A76"/>
    <w:rsid w:val="009A593A"/>
    <w:rsid w:val="009B0B11"/>
    <w:rsid w:val="009C1DD6"/>
    <w:rsid w:val="009D46AE"/>
    <w:rsid w:val="009D79A8"/>
    <w:rsid w:val="00A177F1"/>
    <w:rsid w:val="00A22097"/>
    <w:rsid w:val="00A61634"/>
    <w:rsid w:val="00AB0BCC"/>
    <w:rsid w:val="00B276C6"/>
    <w:rsid w:val="00B557BE"/>
    <w:rsid w:val="00BD2AE6"/>
    <w:rsid w:val="00C032A3"/>
    <w:rsid w:val="00C531FB"/>
    <w:rsid w:val="00C66F97"/>
    <w:rsid w:val="00C83821"/>
    <w:rsid w:val="00CB28B6"/>
    <w:rsid w:val="00D24E2C"/>
    <w:rsid w:val="00D42A20"/>
    <w:rsid w:val="00D97576"/>
    <w:rsid w:val="00DC5601"/>
    <w:rsid w:val="00DF1E07"/>
    <w:rsid w:val="00E96E1B"/>
    <w:rsid w:val="00ED07BD"/>
    <w:rsid w:val="00EF1C95"/>
    <w:rsid w:val="00F30325"/>
    <w:rsid w:val="00F40DF3"/>
    <w:rsid w:val="00F543C2"/>
    <w:rsid w:val="00FC248A"/>
    <w:rsid w:val="00FE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CAE10"/>
  <w15:chartTrackingRefBased/>
  <w15:docId w15:val="{AABA7AB9-9942-4898-8780-284ABBAD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spacing w:line="360" w:lineRule="atLeast"/>
      <w:outlineLvl w:val="1"/>
    </w:pPr>
    <w:rPr>
      <w:color w:val="FFFFFF"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38" w:h="1985" w:hRule="exact" w:hSpace="141" w:wrap="auto" w:hAnchor="page" w:xAlign="center" w:yAlign="bottom"/>
      <w:ind w:left="2835"/>
    </w:pPr>
  </w:style>
  <w:style w:type="paragraph" w:styleId="EnvelopeReturn">
    <w:name w:val="envelope return"/>
    <w:basedOn w:val="Normal"/>
    <w:rPr>
      <w:sz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napToGrid w:val="0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206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061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5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tif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0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B810B-13C4-4055-B16E-D402170C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3047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Nummer:</vt:lpstr>
      <vt:lpstr>Nummer:</vt:lpstr>
    </vt:vector>
  </TitlesOfParts>
  <Company>Steinbruchs-BG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CNC</cp:lastModifiedBy>
  <cp:revision>29</cp:revision>
  <cp:lastPrinted>2017-03-01T13:47:00Z</cp:lastPrinted>
  <dcterms:created xsi:type="dcterms:W3CDTF">2017-03-01T13:30:00Z</dcterms:created>
  <dcterms:modified xsi:type="dcterms:W3CDTF">2017-05-02T12:07:00Z</dcterms:modified>
</cp:coreProperties>
</file>