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C540C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52BC6" wp14:editId="64BD1E19">
                <wp:simplePos x="0" y="0"/>
                <wp:positionH relativeFrom="column">
                  <wp:posOffset>-75373</wp:posOffset>
                </wp:positionH>
                <wp:positionV relativeFrom="paragraph">
                  <wp:posOffset>-66747</wp:posOffset>
                </wp:positionV>
                <wp:extent cx="6991350" cy="9618453"/>
                <wp:effectExtent l="38100" t="38100" r="57150" b="590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618453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31FE" id="Rectangle 3" o:spid="_x0000_s1026" style="position:absolute;margin-left:-5.95pt;margin-top:-5.25pt;width:550.5pt;height:75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15F91A7" wp14:editId="2A63AE8D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D34A83" w:rsidRDefault="000D2A99" w:rsidP="00D34A83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D34A83">
                              <w:rPr>
                                <w:sz w:val="24"/>
                              </w:rPr>
                              <w:t xml:space="preserve">für </w:t>
                            </w:r>
                            <w:r w:rsidR="00D34A83" w:rsidRPr="00D34A83">
                              <w:rPr>
                                <w:sz w:val="24"/>
                              </w:rPr>
                              <w:t>brandfördernde Feststoffe und Flüssigkeiten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9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D34A83" w:rsidRDefault="000D2A99" w:rsidP="00D34A83">
                      <w:pPr>
                        <w:pStyle w:val="berschrift1"/>
                        <w:jc w:val="center"/>
                        <w:rPr>
                          <w:b w:val="0"/>
                          <w:sz w:val="22"/>
                        </w:rPr>
                      </w:pPr>
                      <w:r w:rsidRPr="00D34A83">
                        <w:rPr>
                          <w:sz w:val="24"/>
                        </w:rPr>
                        <w:t xml:space="preserve">für </w:t>
                      </w:r>
                      <w:r w:rsidR="00D34A83" w:rsidRPr="00D34A83">
                        <w:rPr>
                          <w:sz w:val="24"/>
                        </w:rPr>
                        <w:t>brandfördernde Feststoffe und Flüssigkeiten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2C2CDD" wp14:editId="32C20BBA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74D7DC86" wp14:editId="1833FC3D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1D6077DE" wp14:editId="18E352F9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CDD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74D7DC86" wp14:editId="1833FC3D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1D6077DE" wp14:editId="18E352F9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ED07BD" w:rsidRDefault="00AC1585" w:rsidP="00A177F1">
      <w:pPr>
        <w:rPr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1C056832" wp14:editId="167B14EB">
            <wp:simplePos x="0" y="0"/>
            <wp:positionH relativeFrom="column">
              <wp:posOffset>4278630</wp:posOffset>
            </wp:positionH>
            <wp:positionV relativeFrom="paragraph">
              <wp:posOffset>7583805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1501" w:rsidRDefault="002A1501" w:rsidP="00A177F1">
      <w:pPr>
        <w:rPr>
          <w:sz w:val="16"/>
          <w:szCs w:val="18"/>
        </w:rPr>
      </w:pPr>
    </w:p>
    <w:p w:rsidR="002A1501" w:rsidRPr="00AC1585" w:rsidRDefault="00AC1585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C540C3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A61634" w:rsidRPr="003E735A" w:rsidRDefault="000D2A99" w:rsidP="00D34A83">
            <w:pPr>
              <w:rPr>
                <w:sz w:val="20"/>
              </w:rPr>
            </w:pPr>
            <w:r w:rsidRPr="003E735A">
              <w:rPr>
                <w:sz w:val="20"/>
              </w:rPr>
              <w:t xml:space="preserve">Diese Betriebsanweisung gilt für den Umgang mit </w:t>
            </w:r>
            <w:r w:rsidR="00D34A83">
              <w:rPr>
                <w:b/>
                <w:sz w:val="20"/>
              </w:rPr>
              <w:t>brandfördernden Feststoffen und Flüssigkeiten</w:t>
            </w:r>
            <w:r w:rsidR="00D42A20" w:rsidRPr="003E735A">
              <w:rPr>
                <w:sz w:val="20"/>
              </w:rPr>
              <w:t>.</w:t>
            </w:r>
          </w:p>
        </w:tc>
      </w:tr>
      <w:tr w:rsidR="002E7F70" w:rsidTr="00C540C3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0D22FA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Grafik 5" descr="GHS-Symbol 03 Flamme über Kreis - entzündend wirkende 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Symbol 03 Flamme über Kreis - entzündend wirkende 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0E5B46" w:rsidRPr="004A6D9B" w:rsidRDefault="00D34A83" w:rsidP="004A6D9B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4A6D9B">
              <w:rPr>
                <w:sz w:val="20"/>
              </w:rPr>
              <w:t>Feuergefahr bei B</w:t>
            </w:r>
            <w:r w:rsidR="004A6D9B">
              <w:rPr>
                <w:sz w:val="20"/>
              </w:rPr>
              <w:t>erührung mit brennbaren Stoffen</w:t>
            </w:r>
          </w:p>
          <w:p w:rsidR="00D34A83" w:rsidRPr="004A6D9B" w:rsidRDefault="00D34A83" w:rsidP="004A6D9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4"/>
              </w:rPr>
            </w:pPr>
            <w:r w:rsidRPr="004A6D9B">
              <w:rPr>
                <w:sz w:val="20"/>
                <w:szCs w:val="24"/>
              </w:rPr>
              <w:t xml:space="preserve">H270 Kann Brand verursachen oder verstärken; Oxidationsmittel. </w:t>
            </w:r>
          </w:p>
          <w:p w:rsidR="00D34A83" w:rsidRPr="004A6D9B" w:rsidRDefault="00D34A83" w:rsidP="004A6D9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4"/>
              </w:rPr>
            </w:pPr>
            <w:r w:rsidRPr="004A6D9B">
              <w:rPr>
                <w:sz w:val="20"/>
                <w:szCs w:val="24"/>
              </w:rPr>
              <w:t xml:space="preserve">H271 Kann Brand oder Explosion verursachen; starkes Oxidationsmittel. </w:t>
            </w:r>
          </w:p>
          <w:p w:rsidR="00D34A83" w:rsidRPr="00D34A83" w:rsidRDefault="00D34A83" w:rsidP="004A6D9B">
            <w:pPr>
              <w:pStyle w:val="ListParagraph"/>
              <w:numPr>
                <w:ilvl w:val="0"/>
                <w:numId w:val="42"/>
              </w:numPr>
            </w:pPr>
            <w:r w:rsidRPr="004A6D9B">
              <w:rPr>
                <w:sz w:val="20"/>
                <w:szCs w:val="24"/>
              </w:rPr>
              <w:t>H272 Kann Brand verstärken; Oxidationsmittel.</w:t>
            </w:r>
          </w:p>
        </w:tc>
      </w:tr>
      <w:tr w:rsidR="00C540C3" w:rsidTr="00C540C3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C540C3" w:rsidRPr="00034E8C" w:rsidRDefault="00C540C3" w:rsidP="008F6275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4A6D9B" w:rsidTr="00A66E80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4A6D9B" w:rsidRPr="00F543C2" w:rsidRDefault="000D22FA" w:rsidP="004A6D9B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4A6D9B" w:rsidRDefault="004A6D9B" w:rsidP="004A6D9B">
            <w:pPr>
              <w:rPr>
                <w:sz w:val="20"/>
              </w:rPr>
            </w:pPr>
            <w:r w:rsidRPr="004A6D9B">
              <w:rPr>
                <w:sz w:val="20"/>
              </w:rPr>
              <w:t>Behälter an einem gut gelüfteten Ort aufbewahren. Behälter nicht gasdicht verschließen. Von brennbaren Stoffen fernhalten. Gas/Dampf/Aerosol nicht einatmen. Nicht in die Kanalisation gelangen lassen.</w:t>
            </w:r>
          </w:p>
          <w:p w:rsidR="004A6D9B" w:rsidRDefault="004A6D9B" w:rsidP="004A6D9B">
            <w:pPr>
              <w:rPr>
                <w:sz w:val="20"/>
              </w:rPr>
            </w:pP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 w:rsidRPr="004A6D9B">
              <w:rPr>
                <w:b/>
                <w:sz w:val="20"/>
              </w:rPr>
              <w:t xml:space="preserve">Augenschutz: </w:t>
            </w:r>
            <w:r w:rsidRPr="004A6D9B">
              <w:rPr>
                <w:sz w:val="20"/>
              </w:rPr>
              <w:t>Dicht schließende Schutzbrille (Korbbrille), auch Sehbrillenträger!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 w:rsidRPr="004A6D9B">
              <w:rPr>
                <w:b/>
                <w:sz w:val="20"/>
              </w:rPr>
              <w:t xml:space="preserve">Handschutz: </w:t>
            </w:r>
            <w:r w:rsidRPr="004A6D9B">
              <w:rPr>
                <w:sz w:val="20"/>
              </w:rPr>
              <w:t>Bei Tätigkeiten mit unmittelbarem Stoffkontakt undurchlässige Handschuhe aus Butylkautschuk oder sog. „4-H“-Handschuhe tragen. Andere Materialien sind ungeeignet, Stoff dringt schnell hindurch. Als reiner Spritzschutz sind auch Einmalhandschuhe aus Nitril geeignet, wenn sie bei Stoffkontakt sofort gewechselt werden.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 w:rsidRPr="004A6D9B">
              <w:rPr>
                <w:b/>
                <w:sz w:val="20"/>
              </w:rPr>
              <w:t xml:space="preserve">Atemschutz: </w:t>
            </w:r>
            <w:r w:rsidRPr="004A6D9B">
              <w:rPr>
                <w:sz w:val="20"/>
              </w:rPr>
              <w:t>Bei Arbeiten unter Abzug oder Absaugung oder bei kurzfristigem Einsatz geringer Mengen nicht erforderlich. Bei längerem offenem Umgang Atemschutzmaske, Gasfilter</w:t>
            </w:r>
            <w:r w:rsidRPr="004A6D9B">
              <w:rPr>
                <w:rFonts w:cs="Arial"/>
                <w:sz w:val="20"/>
                <w:szCs w:val="18"/>
              </w:rPr>
              <w:t xml:space="preserve"> ABEK</w:t>
            </w:r>
            <w:r w:rsidRPr="004A6D9B">
              <w:rPr>
                <w:sz w:val="20"/>
              </w:rPr>
              <w:t xml:space="preserve"> tragen.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3"/>
              </w:numPr>
              <w:rPr>
                <w:rFonts w:cs="Arial,Bold"/>
              </w:rPr>
            </w:pPr>
            <w:r w:rsidRPr="004A6D9B">
              <w:rPr>
                <w:b/>
                <w:sz w:val="20"/>
              </w:rPr>
              <w:t xml:space="preserve">Hautschutz: </w:t>
            </w:r>
            <w:r w:rsidRPr="004A6D9B">
              <w:rPr>
                <w:sz w:val="20"/>
              </w:rPr>
              <w:t>Regelmäßig Hautpflegemittel verwenden.</w:t>
            </w:r>
          </w:p>
        </w:tc>
      </w:tr>
      <w:tr w:rsidR="004A6D9B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4A6D9B" w:rsidRPr="0085650F" w:rsidRDefault="004A6D9B" w:rsidP="004A6D9B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4A6D9B" w:rsidTr="00C540C3">
        <w:tc>
          <w:tcPr>
            <w:tcW w:w="1186" w:type="dxa"/>
            <w:tcBorders>
              <w:bottom w:val="single" w:sz="4" w:space="0" w:color="auto"/>
            </w:tcBorders>
          </w:tcPr>
          <w:p w:rsidR="004A6D9B" w:rsidRPr="00105F52" w:rsidRDefault="004A6D9B" w:rsidP="004A6D9B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4A6D9B" w:rsidRPr="004A6D9B" w:rsidRDefault="004A6D9B" w:rsidP="004A6D9B">
            <w:pPr>
              <w:rPr>
                <w:sz w:val="20"/>
              </w:rPr>
            </w:pPr>
            <w:r w:rsidRPr="004A6D9B">
              <w:rPr>
                <w:sz w:val="20"/>
              </w:rPr>
              <w:t>Beim Freiwerden von Gasen, Dämpfen oder Stäuben und Flüssigkeiten umgehend den Raum verlassen, dabei nach Möglichkeit Fenster öffnen. Wiedereintritt nur unter Atemschutz (Maske mit ABEK-Filter).</w:t>
            </w:r>
          </w:p>
          <w:p w:rsidR="004A6D9B" w:rsidRPr="004A6D9B" w:rsidRDefault="004A6D9B" w:rsidP="004A6D9B">
            <w:pPr>
              <w:rPr>
                <w:sz w:val="20"/>
              </w:rPr>
            </w:pPr>
            <w:r w:rsidRPr="004A6D9B">
              <w:rPr>
                <w:sz w:val="20"/>
              </w:rPr>
              <w:t>Verschüttete Mengen ggf. mit einem Universalbinder aufnehmen und einer ordnungsgemäßen Entsorgung zuführen.</w:t>
            </w:r>
          </w:p>
          <w:p w:rsidR="004A6D9B" w:rsidRPr="002A1501" w:rsidRDefault="004A6D9B" w:rsidP="004A6D9B">
            <w:r w:rsidRPr="004A6D9B">
              <w:rPr>
                <w:sz w:val="20"/>
              </w:rPr>
              <w:t>Im Brandfall nach Möglichkeit sofort Löschmaßnahmen mit CO</w:t>
            </w:r>
            <w:r w:rsidRPr="004A6D9B">
              <w:rPr>
                <w:sz w:val="20"/>
                <w:vertAlign w:val="subscript"/>
              </w:rPr>
              <w:t>2</w:t>
            </w:r>
            <w:r w:rsidRPr="004A6D9B">
              <w:rPr>
                <w:sz w:val="10"/>
                <w:szCs w:val="14"/>
                <w:vertAlign w:val="subscript"/>
              </w:rPr>
              <w:t xml:space="preserve"> </w:t>
            </w:r>
            <w:r w:rsidRPr="004A6D9B">
              <w:rPr>
                <w:sz w:val="20"/>
              </w:rPr>
              <w:t>-</w:t>
            </w:r>
            <w:r w:rsidRPr="004A6D9B">
              <w:rPr>
                <w:sz w:val="10"/>
                <w:szCs w:val="14"/>
              </w:rPr>
              <w:t xml:space="preserve"> </w:t>
            </w:r>
            <w:r w:rsidRPr="004A6D9B">
              <w:rPr>
                <w:sz w:val="20"/>
              </w:rPr>
              <w:t>(Flüssigkeiten) bzw. Pulverlöscher (Feststoffe) einleiten. Fenster geschlossen halten! Bewusstlose und/oder hilflose Personen aus dem Gefahrenbereich bringen, Gefährdete Personen im näheren Umkreis warnen.</w:t>
            </w:r>
          </w:p>
        </w:tc>
      </w:tr>
      <w:tr w:rsidR="004A6D9B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4A6D9B" w:rsidRPr="0085650F" w:rsidRDefault="004A6D9B" w:rsidP="004A6D9B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4A6D9B" w:rsidTr="002A150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4A6D9B" w:rsidRDefault="004A6D9B" w:rsidP="004A6D9B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4AACFDCD" wp14:editId="69916EB9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9B" w:rsidRDefault="004A6D9B" w:rsidP="004A6D9B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B519377" wp14:editId="5392F10E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4A6D9B" w:rsidRPr="004A6D9B" w:rsidRDefault="004A6D9B" w:rsidP="004A6D9B">
            <w:pPr>
              <w:rPr>
                <w:sz w:val="20"/>
              </w:rPr>
            </w:pPr>
            <w:r w:rsidRPr="004A6D9B">
              <w:rPr>
                <w:b/>
                <w:snapToGrid w:val="0"/>
                <w:sz w:val="20"/>
              </w:rPr>
              <w:t xml:space="preserve">Bei Unwohlsein sofort Arzt aufsuchen, </w:t>
            </w:r>
            <w:r w:rsidRPr="004A6D9B">
              <w:rPr>
                <w:sz w:val="20"/>
              </w:rPr>
              <w:t>möglichst Stoffetikett bzw. CAS-Nummer mitnehmen!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4"/>
              </w:numPr>
              <w:rPr>
                <w:snapToGrid w:val="0"/>
                <w:sz w:val="20"/>
              </w:rPr>
            </w:pPr>
            <w:r w:rsidRPr="004A6D9B">
              <w:rPr>
                <w:b/>
                <w:snapToGrid w:val="0"/>
                <w:sz w:val="20"/>
              </w:rPr>
              <w:t xml:space="preserve">Nach Augenkontakt: </w:t>
            </w:r>
            <w:r w:rsidRPr="004A6D9B">
              <w:rPr>
                <w:snapToGrid w:val="0"/>
                <w:sz w:val="20"/>
              </w:rPr>
              <w:t xml:space="preserve">Sofort unter fließendem Wasser bei gespreiztem Lid unter Schutz des unverletzten Auges mind. 10 min spülen.  Augenarzt bzw. Notruf! 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4"/>
              </w:numPr>
              <w:rPr>
                <w:snapToGrid w:val="0"/>
                <w:sz w:val="20"/>
              </w:rPr>
            </w:pPr>
            <w:r w:rsidRPr="004A6D9B">
              <w:rPr>
                <w:b/>
                <w:snapToGrid w:val="0"/>
                <w:sz w:val="20"/>
              </w:rPr>
              <w:t xml:space="preserve">Nach Hautkontakt: </w:t>
            </w:r>
            <w:r w:rsidRPr="004A6D9B">
              <w:rPr>
                <w:snapToGrid w:val="0"/>
                <w:sz w:val="20"/>
              </w:rPr>
              <w:t>Mit viel Wasser und Seife abspülen.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4"/>
              </w:numPr>
              <w:rPr>
                <w:snapToGrid w:val="0"/>
                <w:sz w:val="20"/>
              </w:rPr>
            </w:pPr>
            <w:r w:rsidRPr="004A6D9B">
              <w:rPr>
                <w:b/>
                <w:snapToGrid w:val="0"/>
                <w:sz w:val="20"/>
              </w:rPr>
              <w:t xml:space="preserve">Nach Einatmen: </w:t>
            </w:r>
            <w:r w:rsidRPr="004A6D9B">
              <w:rPr>
                <w:snapToGrid w:val="0"/>
                <w:sz w:val="20"/>
              </w:rPr>
              <w:t>Frischluft; bei Beschwerden Arzt aufsuchen bzw. Notruf.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4"/>
              </w:numPr>
              <w:rPr>
                <w:snapToGrid w:val="0"/>
                <w:sz w:val="20"/>
              </w:rPr>
            </w:pPr>
            <w:r w:rsidRPr="004A6D9B">
              <w:rPr>
                <w:b/>
                <w:snapToGrid w:val="0"/>
                <w:sz w:val="20"/>
              </w:rPr>
              <w:t xml:space="preserve">Nach Verschlucken: </w:t>
            </w:r>
            <w:r w:rsidRPr="004A6D9B">
              <w:rPr>
                <w:snapToGrid w:val="0"/>
                <w:sz w:val="20"/>
              </w:rPr>
              <w:t xml:space="preserve">Erbrechen </w:t>
            </w:r>
            <w:r w:rsidRPr="004A6D9B">
              <w:rPr>
                <w:b/>
                <w:snapToGrid w:val="0"/>
                <w:sz w:val="20"/>
              </w:rPr>
              <w:t>nicht anregen</w:t>
            </w:r>
            <w:r w:rsidRPr="004A6D9B">
              <w:rPr>
                <w:snapToGrid w:val="0"/>
                <w:sz w:val="20"/>
              </w:rPr>
              <w:t>, Aspirationsgefahr. Sofort reichlich Wasser mit Medizi</w:t>
            </w:r>
            <w:r>
              <w:rPr>
                <w:snapToGrid w:val="0"/>
                <w:sz w:val="20"/>
              </w:rPr>
              <w:t>nalkohol</w:t>
            </w:r>
            <w:r w:rsidRPr="004A6D9B">
              <w:rPr>
                <w:snapToGrid w:val="0"/>
                <w:sz w:val="20"/>
              </w:rPr>
              <w:t xml:space="preserve"> (3 Essl. je Glas Wasser aufgeschlämmt) trinken lassen. Sofort Arzt bzw. Notruf!</w:t>
            </w:r>
          </w:p>
          <w:p w:rsidR="004A6D9B" w:rsidRPr="004A6D9B" w:rsidRDefault="004A6D9B" w:rsidP="004A6D9B">
            <w:pPr>
              <w:pStyle w:val="ListParagraph"/>
              <w:numPr>
                <w:ilvl w:val="0"/>
                <w:numId w:val="44"/>
              </w:numPr>
              <w:rPr>
                <w:b/>
                <w:sz w:val="20"/>
              </w:rPr>
            </w:pPr>
            <w:r w:rsidRPr="004A6D9B">
              <w:rPr>
                <w:b/>
                <w:sz w:val="20"/>
              </w:rPr>
              <w:t xml:space="preserve">Nach Kleidungskontakt: </w:t>
            </w:r>
            <w:r w:rsidRPr="004A6D9B">
              <w:rPr>
                <w:sz w:val="20"/>
              </w:rPr>
              <w:t>Benetzte Kleidung sofort ablegen, Brandgefahr! Auf Hautkontakt achten.</w:t>
            </w:r>
          </w:p>
          <w:p w:rsidR="004A6D9B" w:rsidRPr="004A6D9B" w:rsidRDefault="004A6D9B" w:rsidP="004A6D9B">
            <w:pPr>
              <w:rPr>
                <w:sz w:val="16"/>
              </w:rPr>
            </w:pPr>
          </w:p>
          <w:p w:rsidR="004A6D9B" w:rsidRPr="003E735A" w:rsidRDefault="004A6D9B" w:rsidP="004A6D9B">
            <w:pPr>
              <w:rPr>
                <w:sz w:val="20"/>
              </w:rPr>
            </w:pPr>
            <w:r w:rsidRPr="00A61634">
              <w:rPr>
                <w:b/>
              </w:rPr>
              <w:t>Notruf: 112</w:t>
            </w:r>
            <w:r w:rsidRPr="003E735A">
              <w:rPr>
                <w:b/>
                <w:sz w:val="20"/>
              </w:rPr>
              <w:t xml:space="preserve">  </w:t>
            </w:r>
            <w:r w:rsidRPr="003E735A">
              <w:rPr>
                <w:sz w:val="20"/>
              </w:rPr>
              <w:t xml:space="preserve">              Ersthelfer:  Dr. Matthias Stolte</w:t>
            </w:r>
          </w:p>
        </w:tc>
      </w:tr>
      <w:tr w:rsidR="004A6D9B" w:rsidTr="00C540C3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4A6D9B" w:rsidRDefault="004A6D9B" w:rsidP="004A6D9B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4A6D9B" w:rsidRPr="000D2A99" w:rsidRDefault="004A6D9B" w:rsidP="004A6D9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4A6D9B" w:rsidTr="00C540C3">
        <w:tc>
          <w:tcPr>
            <w:tcW w:w="1186" w:type="dxa"/>
            <w:tcBorders>
              <w:bottom w:val="single" w:sz="4" w:space="0" w:color="auto"/>
            </w:tcBorders>
          </w:tcPr>
          <w:p w:rsidR="004A6D9B" w:rsidRDefault="004A6D9B" w:rsidP="004A6D9B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4A6D9B" w:rsidRPr="004A6D9B" w:rsidRDefault="004A6D9B" w:rsidP="004A6D9B">
            <w:r w:rsidRPr="004A6D9B">
              <w:rPr>
                <w:sz w:val="20"/>
              </w:rPr>
              <w:t>Abfälle in zugelassenen Transportbehältern des Entsorgers sammeln und bis zur Abgabe an einem sicheren Ort aufbewahren. Re</w:t>
            </w:r>
            <w:r>
              <w:rPr>
                <w:sz w:val="20"/>
              </w:rPr>
              <w:t>aktive Stoffe in eine a</w:t>
            </w:r>
            <w:r w:rsidRPr="004A6D9B">
              <w:rPr>
                <w:sz w:val="20"/>
              </w:rPr>
              <w:t>bgabe</w:t>
            </w:r>
            <w:r>
              <w:rPr>
                <w:sz w:val="20"/>
              </w:rPr>
              <w:t>-</w:t>
            </w:r>
            <w:r w:rsidRPr="004A6D9B">
              <w:rPr>
                <w:sz w:val="20"/>
              </w:rPr>
              <w:t xml:space="preserve"> und transportfähige unreaktive Form bringen; ggf. mit Universalbindemittel stabilisieren. Richtlinien des Entsorgers beachten. </w:t>
            </w:r>
            <w:r w:rsidRPr="004A6D9B">
              <w:rPr>
                <w:noProof/>
                <w:sz w:val="20"/>
              </w:rPr>
              <w:t>(Kontakt: Frau Rubens Tel. 84711).</w:t>
            </w:r>
          </w:p>
        </w:tc>
      </w:tr>
    </w:tbl>
    <w:tbl>
      <w:tblPr>
        <w:tblW w:w="10912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C33ECD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5A47"/>
    <w:multiLevelType w:val="hybridMultilevel"/>
    <w:tmpl w:val="316C6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692B"/>
    <w:multiLevelType w:val="hybridMultilevel"/>
    <w:tmpl w:val="43768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35F73"/>
    <w:multiLevelType w:val="hybridMultilevel"/>
    <w:tmpl w:val="0D7A6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33332"/>
    <w:multiLevelType w:val="hybridMultilevel"/>
    <w:tmpl w:val="A95EF3DC"/>
    <w:lvl w:ilvl="0" w:tplc="F79498D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0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F73A2"/>
    <w:multiLevelType w:val="hybridMultilevel"/>
    <w:tmpl w:val="BEC2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0F1161"/>
    <w:multiLevelType w:val="hybridMultilevel"/>
    <w:tmpl w:val="F7BA2D5C"/>
    <w:lvl w:ilvl="0" w:tplc="F79498D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751CC6"/>
    <w:multiLevelType w:val="hybridMultilevel"/>
    <w:tmpl w:val="00A88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2" w15:restartNumberingAfterBreak="0">
    <w:nsid w:val="5221745B"/>
    <w:multiLevelType w:val="hybridMultilevel"/>
    <w:tmpl w:val="3C667336"/>
    <w:lvl w:ilvl="0" w:tplc="5FE4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C729A"/>
    <w:multiLevelType w:val="hybridMultilevel"/>
    <w:tmpl w:val="5080A714"/>
    <w:lvl w:ilvl="0" w:tplc="2EBC3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C19F2"/>
    <w:multiLevelType w:val="hybridMultilevel"/>
    <w:tmpl w:val="0E04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54146"/>
    <w:multiLevelType w:val="hybridMultilevel"/>
    <w:tmpl w:val="BE10E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449CA"/>
    <w:multiLevelType w:val="hybridMultilevel"/>
    <w:tmpl w:val="35AC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D13F8"/>
    <w:multiLevelType w:val="hybridMultilevel"/>
    <w:tmpl w:val="8BF83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5AA1"/>
    <w:multiLevelType w:val="hybridMultilevel"/>
    <w:tmpl w:val="28D26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E56BE"/>
    <w:multiLevelType w:val="hybridMultilevel"/>
    <w:tmpl w:val="141E0C38"/>
    <w:lvl w:ilvl="0" w:tplc="1CB4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43"/>
  </w:num>
  <w:num w:numId="5">
    <w:abstractNumId w:val="33"/>
  </w:num>
  <w:num w:numId="6">
    <w:abstractNumId w:val="21"/>
  </w:num>
  <w:num w:numId="7">
    <w:abstractNumId w:val="14"/>
  </w:num>
  <w:num w:numId="8">
    <w:abstractNumId w:val="2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7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15"/>
  </w:num>
  <w:num w:numId="25">
    <w:abstractNumId w:val="31"/>
  </w:num>
  <w:num w:numId="26">
    <w:abstractNumId w:val="11"/>
  </w:num>
  <w:num w:numId="27">
    <w:abstractNumId w:val="34"/>
  </w:num>
  <w:num w:numId="28">
    <w:abstractNumId w:val="13"/>
  </w:num>
  <w:num w:numId="29">
    <w:abstractNumId w:val="19"/>
  </w:num>
  <w:num w:numId="30">
    <w:abstractNumId w:val="38"/>
  </w:num>
  <w:num w:numId="31">
    <w:abstractNumId w:val="40"/>
  </w:num>
  <w:num w:numId="32">
    <w:abstractNumId w:val="36"/>
  </w:num>
  <w:num w:numId="33">
    <w:abstractNumId w:val="12"/>
  </w:num>
  <w:num w:numId="34">
    <w:abstractNumId w:val="39"/>
  </w:num>
  <w:num w:numId="35">
    <w:abstractNumId w:val="37"/>
  </w:num>
  <w:num w:numId="36">
    <w:abstractNumId w:val="32"/>
  </w:num>
  <w:num w:numId="37">
    <w:abstractNumId w:val="28"/>
  </w:num>
  <w:num w:numId="38">
    <w:abstractNumId w:val="10"/>
  </w:num>
  <w:num w:numId="39">
    <w:abstractNumId w:val="24"/>
  </w:num>
  <w:num w:numId="40">
    <w:abstractNumId w:val="17"/>
  </w:num>
  <w:num w:numId="41">
    <w:abstractNumId w:val="26"/>
  </w:num>
  <w:num w:numId="42">
    <w:abstractNumId w:val="41"/>
  </w:num>
  <w:num w:numId="43">
    <w:abstractNumId w:val="35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6344D"/>
    <w:rsid w:val="000745E3"/>
    <w:rsid w:val="00092FC1"/>
    <w:rsid w:val="000935FC"/>
    <w:rsid w:val="000D22FA"/>
    <w:rsid w:val="000D2A99"/>
    <w:rsid w:val="000E5B46"/>
    <w:rsid w:val="000F60F9"/>
    <w:rsid w:val="000F7AB7"/>
    <w:rsid w:val="00105F52"/>
    <w:rsid w:val="00134F75"/>
    <w:rsid w:val="001475DC"/>
    <w:rsid w:val="0015761D"/>
    <w:rsid w:val="00190B9A"/>
    <w:rsid w:val="001B3897"/>
    <w:rsid w:val="001E6E35"/>
    <w:rsid w:val="002061CF"/>
    <w:rsid w:val="0021497F"/>
    <w:rsid w:val="0029530E"/>
    <w:rsid w:val="002A1501"/>
    <w:rsid w:val="002C59EA"/>
    <w:rsid w:val="002E7F70"/>
    <w:rsid w:val="00354233"/>
    <w:rsid w:val="0035766F"/>
    <w:rsid w:val="003C5550"/>
    <w:rsid w:val="003E735A"/>
    <w:rsid w:val="004A6D9B"/>
    <w:rsid w:val="004A7B8B"/>
    <w:rsid w:val="004E3176"/>
    <w:rsid w:val="004F15FA"/>
    <w:rsid w:val="004F24BB"/>
    <w:rsid w:val="00521380"/>
    <w:rsid w:val="005F3320"/>
    <w:rsid w:val="005F3E4E"/>
    <w:rsid w:val="00633564"/>
    <w:rsid w:val="00657F7F"/>
    <w:rsid w:val="00660477"/>
    <w:rsid w:val="00686927"/>
    <w:rsid w:val="006C07A9"/>
    <w:rsid w:val="006D6A44"/>
    <w:rsid w:val="00714180"/>
    <w:rsid w:val="00783016"/>
    <w:rsid w:val="007E5729"/>
    <w:rsid w:val="00824381"/>
    <w:rsid w:val="00826896"/>
    <w:rsid w:val="0085650F"/>
    <w:rsid w:val="008F6275"/>
    <w:rsid w:val="00915D91"/>
    <w:rsid w:val="00932A9A"/>
    <w:rsid w:val="00945A76"/>
    <w:rsid w:val="009A593A"/>
    <w:rsid w:val="009B0B11"/>
    <w:rsid w:val="009C1DD6"/>
    <w:rsid w:val="009D46AE"/>
    <w:rsid w:val="009D79A8"/>
    <w:rsid w:val="00A177F1"/>
    <w:rsid w:val="00A22097"/>
    <w:rsid w:val="00A61634"/>
    <w:rsid w:val="00AB0BCC"/>
    <w:rsid w:val="00AC1585"/>
    <w:rsid w:val="00B276C6"/>
    <w:rsid w:val="00BD2AE6"/>
    <w:rsid w:val="00C032A3"/>
    <w:rsid w:val="00C33ECD"/>
    <w:rsid w:val="00C531FB"/>
    <w:rsid w:val="00C540C3"/>
    <w:rsid w:val="00C83821"/>
    <w:rsid w:val="00CB28B6"/>
    <w:rsid w:val="00D24E2C"/>
    <w:rsid w:val="00D34A83"/>
    <w:rsid w:val="00D36E0B"/>
    <w:rsid w:val="00D42A20"/>
    <w:rsid w:val="00D97576"/>
    <w:rsid w:val="00DC5601"/>
    <w:rsid w:val="00DF1E07"/>
    <w:rsid w:val="00ED07BD"/>
    <w:rsid w:val="00EF1C95"/>
    <w:rsid w:val="00F30325"/>
    <w:rsid w:val="00F40DF3"/>
    <w:rsid w:val="00F543C2"/>
    <w:rsid w:val="00FC248A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88571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7138-8D05-4E7E-BA53-B8AA5304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36</cp:revision>
  <cp:lastPrinted>2017-03-31T12:16:00Z</cp:lastPrinted>
  <dcterms:created xsi:type="dcterms:W3CDTF">2017-03-01T13:30:00Z</dcterms:created>
  <dcterms:modified xsi:type="dcterms:W3CDTF">2017-05-02T12:06:00Z</dcterms:modified>
</cp:coreProperties>
</file>