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-72966</wp:posOffset>
                </wp:positionH>
                <wp:positionV relativeFrom="paragraph">
                  <wp:posOffset>-19802</wp:posOffset>
                </wp:positionV>
                <wp:extent cx="6991350" cy="9175898"/>
                <wp:effectExtent l="38100" t="38100" r="57150" b="6350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175898"/>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4F2D" id="Rectangle 3" o:spid="_x0000_s1026" style="position:absolute;margin-left:-5.75pt;margin-top:-1.55pt;width:550.5pt;height:7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81541F" w:rsidRDefault="000D2A99" w:rsidP="00B1447A">
                            <w:pPr>
                              <w:pStyle w:val="Heading1"/>
                              <w:jc w:val="center"/>
                              <w:rPr>
                                <w:sz w:val="28"/>
                                <w:szCs w:val="28"/>
                              </w:rPr>
                            </w:pPr>
                            <w:r w:rsidRPr="0004122C">
                              <w:rPr>
                                <w:sz w:val="28"/>
                                <w:szCs w:val="28"/>
                              </w:rPr>
                              <w:t xml:space="preserve">für </w:t>
                            </w:r>
                            <w:r w:rsidR="0081541F">
                              <w:rPr>
                                <w:sz w:val="28"/>
                                <w:szCs w:val="28"/>
                              </w:rPr>
                              <w:t>ano</w:t>
                            </w:r>
                            <w:r w:rsidR="00B1447A">
                              <w:rPr>
                                <w:sz w:val="28"/>
                                <w:szCs w:val="28"/>
                              </w:rPr>
                              <w:t xml:space="preserve">rganische </w:t>
                            </w:r>
                          </w:p>
                          <w:p w:rsidR="00B30B93" w:rsidRPr="00B30B93" w:rsidRDefault="00B1447A" w:rsidP="00B1447A">
                            <w:pPr>
                              <w:pStyle w:val="Heading1"/>
                              <w:jc w:val="center"/>
                              <w:rPr>
                                <w:sz w:val="26"/>
                                <w:szCs w:val="26"/>
                              </w:rPr>
                            </w:pPr>
                            <w:r>
                              <w:rPr>
                                <w:sz w:val="28"/>
                                <w:szCs w:val="28"/>
                              </w:rPr>
                              <w:t>Säuren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81541F" w:rsidRDefault="000D2A99" w:rsidP="00B1447A">
                      <w:pPr>
                        <w:pStyle w:val="berschrift1"/>
                        <w:jc w:val="center"/>
                        <w:rPr>
                          <w:sz w:val="28"/>
                          <w:szCs w:val="28"/>
                        </w:rPr>
                      </w:pPr>
                      <w:r w:rsidRPr="0004122C">
                        <w:rPr>
                          <w:sz w:val="28"/>
                          <w:szCs w:val="28"/>
                        </w:rPr>
                        <w:t xml:space="preserve">für </w:t>
                      </w:r>
                      <w:r w:rsidR="0081541F">
                        <w:rPr>
                          <w:sz w:val="28"/>
                          <w:szCs w:val="28"/>
                        </w:rPr>
                        <w:t>ano</w:t>
                      </w:r>
                      <w:r w:rsidR="00B1447A">
                        <w:rPr>
                          <w:sz w:val="28"/>
                          <w:szCs w:val="28"/>
                        </w:rPr>
                        <w:t xml:space="preserve">rganische </w:t>
                      </w:r>
                    </w:p>
                    <w:p w:rsidR="00B30B93" w:rsidRPr="00B30B93" w:rsidRDefault="00B1447A" w:rsidP="00B1447A">
                      <w:pPr>
                        <w:pStyle w:val="berschrift1"/>
                        <w:jc w:val="center"/>
                        <w:rPr>
                          <w:sz w:val="26"/>
                          <w:szCs w:val="26"/>
                        </w:rPr>
                      </w:pPr>
                      <w:r>
                        <w:rPr>
                          <w:sz w:val="28"/>
                          <w:szCs w:val="28"/>
                        </w:rPr>
                        <w:t>Säuren</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36F99" w:rsidRDefault="00521380" w:rsidP="00A177F1">
      <w:r>
        <w:t>Arbeit</w:t>
      </w:r>
      <w:r w:rsidR="000D2A99">
        <w:t>s</w:t>
      </w:r>
      <w:r>
        <w:t xml:space="preserve">bereich: </w:t>
      </w:r>
      <w:r w:rsidR="000D2A99">
        <w:t>L</w:t>
      </w:r>
      <w:r w:rsidR="00092FC1">
        <w:t>abor</w:t>
      </w:r>
    </w:p>
    <w:p w:rsidR="00534C32" w:rsidRPr="00534C32" w:rsidRDefault="00534C32" w:rsidP="00A177F1"/>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A61634" w:rsidRPr="0081541F" w:rsidRDefault="000D2A99" w:rsidP="0081541F">
            <w:pPr>
              <w:rPr>
                <w:sz w:val="20"/>
              </w:rPr>
            </w:pPr>
            <w:r w:rsidRPr="0081541F">
              <w:rPr>
                <w:sz w:val="20"/>
              </w:rPr>
              <w:t xml:space="preserve">Diese Betriebsanweisung gilt für den Umgang mit </w:t>
            </w:r>
            <w:r w:rsidR="0081541F" w:rsidRPr="0081541F">
              <w:rPr>
                <w:b/>
                <w:sz w:val="20"/>
              </w:rPr>
              <w:t>an</w:t>
            </w:r>
            <w:r w:rsidR="00B1447A" w:rsidRPr="0081541F">
              <w:rPr>
                <w:b/>
                <w:sz w:val="20"/>
              </w:rPr>
              <w:t>organischen Säuren</w:t>
            </w:r>
            <w:r w:rsidR="00543295" w:rsidRPr="0081541F">
              <w:rPr>
                <w:sz w:val="20"/>
              </w:rPr>
              <w:t xml:space="preserve">. </w:t>
            </w:r>
          </w:p>
          <w:p w:rsidR="0081541F" w:rsidRPr="0081541F" w:rsidRDefault="0081541F" w:rsidP="0081541F">
            <w:pPr>
              <w:rPr>
                <w:sz w:val="20"/>
              </w:rPr>
            </w:pPr>
            <w:r w:rsidRPr="0081541F">
              <w:rPr>
                <w:sz w:val="20"/>
              </w:rPr>
              <w:t xml:space="preserve">Gültig für </w:t>
            </w:r>
            <w:r w:rsidRPr="0081541F">
              <w:rPr>
                <w:b/>
                <w:sz w:val="20"/>
              </w:rPr>
              <w:t>Salzsäure</w:t>
            </w:r>
            <w:r w:rsidRPr="0081541F">
              <w:rPr>
                <w:sz w:val="20"/>
              </w:rPr>
              <w:t xml:space="preserve"> </w:t>
            </w:r>
            <w:r w:rsidRPr="0081541F">
              <w:rPr>
                <w:b/>
                <w:sz w:val="20"/>
                <w:u w:val="single"/>
              </w:rPr>
              <w:t>&gt;</w:t>
            </w:r>
            <w:r w:rsidRPr="0081541F">
              <w:rPr>
                <w:sz w:val="20"/>
              </w:rPr>
              <w:t xml:space="preserve"> </w:t>
            </w:r>
            <w:r w:rsidRPr="0081541F">
              <w:rPr>
                <w:b/>
                <w:sz w:val="20"/>
              </w:rPr>
              <w:t xml:space="preserve">25%, Schwefelsäure </w:t>
            </w:r>
            <w:r w:rsidRPr="0081541F">
              <w:rPr>
                <w:sz w:val="20"/>
                <w:u w:val="single"/>
              </w:rPr>
              <w:t>&gt;</w:t>
            </w:r>
            <w:r w:rsidRPr="0081541F">
              <w:rPr>
                <w:sz w:val="20"/>
              </w:rPr>
              <w:t xml:space="preserve">  </w:t>
            </w:r>
            <w:r w:rsidRPr="0081541F">
              <w:rPr>
                <w:b/>
                <w:sz w:val="20"/>
              </w:rPr>
              <w:t xml:space="preserve">15%, Phosphorsäure 25%; </w:t>
            </w:r>
            <w:r w:rsidRPr="0081541F">
              <w:rPr>
                <w:sz w:val="20"/>
              </w:rPr>
              <w:t>farblose, stark saure Flüssigkeiten mit stechendem Geruch; Schwefelsäure ölige Konsistenz, geruchlos.</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B1447A" w:rsidTr="00437872">
        <w:tc>
          <w:tcPr>
            <w:tcW w:w="1186" w:type="dxa"/>
            <w:tcBorders>
              <w:bottom w:val="single" w:sz="4" w:space="0" w:color="auto"/>
            </w:tcBorders>
            <w:vAlign w:val="center"/>
          </w:tcPr>
          <w:p w:rsidR="00B1447A" w:rsidRDefault="0040691B" w:rsidP="00B1447A">
            <w:pPr>
              <w:spacing w:before="60" w:after="60"/>
              <w:jc w:val="center"/>
            </w:pPr>
            <w:r>
              <w:rPr>
                <w:noProof/>
              </w:rPr>
              <w:drawing>
                <wp:inline distT="0" distB="0" distL="0" distR="0">
                  <wp:extent cx="468000" cy="468000"/>
                  <wp:effectExtent l="0" t="0" r="8255" b="8255"/>
                  <wp:docPr id="6" name="Grafik 6"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81541F" w:rsidRPr="0081541F" w:rsidRDefault="0081541F" w:rsidP="0081541F">
            <w:pPr>
              <w:rPr>
                <w:sz w:val="20"/>
              </w:rPr>
            </w:pPr>
            <w:r w:rsidRPr="0081541F">
              <w:rPr>
                <w:b/>
                <w:sz w:val="20"/>
              </w:rPr>
              <w:t>Verursachen schwere Verätzungen.</w:t>
            </w:r>
            <w:r w:rsidRPr="0081541F">
              <w:rPr>
                <w:sz w:val="20"/>
              </w:rPr>
              <w:t xml:space="preserve">  Bei Hautkontakt bilden sich Ätzschorfe, Verätzung bleibt so häufig oberflächlich.  Konzentrierte Schwefelsäure kann jedoch tief ins Gewebe eindringen.  Inhalation der Dämpfe kann zu starken Reizungen oder zur Verätzung der Atemwege führen, Lungenödem möglich.  Am Auge schwere Hornhautschäden.  Bei Verschlucken schwerste innere Verätzungen möglich, Gefahr eines Magendurchbruchs, Lebensgefahr.</w:t>
            </w:r>
          </w:p>
          <w:p w:rsidR="0081541F" w:rsidRPr="0081541F" w:rsidRDefault="0081541F" w:rsidP="0081541F">
            <w:pPr>
              <w:rPr>
                <w:sz w:val="20"/>
              </w:rPr>
            </w:pPr>
          </w:p>
          <w:p w:rsidR="0081541F" w:rsidRPr="0081541F" w:rsidRDefault="0081541F" w:rsidP="0081541F">
            <w:pPr>
              <w:rPr>
                <w:sz w:val="20"/>
              </w:rPr>
            </w:pPr>
            <w:r w:rsidRPr="0081541F">
              <w:rPr>
                <w:sz w:val="20"/>
              </w:rPr>
              <w:t xml:space="preserve">Heftige Reaktion mit Hydroxiden/Laugen (Verspritzen, Wärmeentwicklung).  Bei Kontakt mit unedlen Metallen entsteht hochentzündlicher Wasserstoff.  Bei Zugabe von Wasser in die Säure heftiges Erwärmen und Verspritzen.  </w:t>
            </w:r>
            <w:r w:rsidRPr="0081541F">
              <w:rPr>
                <w:b/>
                <w:sz w:val="20"/>
              </w:rPr>
              <w:t xml:space="preserve">Schwefelsäure: </w:t>
            </w:r>
            <w:r w:rsidRPr="0081541F">
              <w:rPr>
                <w:sz w:val="20"/>
              </w:rPr>
              <w:t xml:space="preserve">explosionsartige Reaktionen u.a. mit Permanganaten, konz.  Ammoniaklösung, Perchlorsäure; heiße, konz.  Säure wirkt stark oxidierend.  </w:t>
            </w:r>
            <w:r w:rsidRPr="0081541F">
              <w:rPr>
                <w:b/>
                <w:sz w:val="20"/>
              </w:rPr>
              <w:t xml:space="preserve">Salzsäure: </w:t>
            </w:r>
            <w:r w:rsidRPr="0081541F">
              <w:rPr>
                <w:sz w:val="20"/>
              </w:rPr>
              <w:t>Chlorentwicklung bei Kontakt u.a. mit Permanganaten, Oxidationsmitteln; in feuchter Luft rauchend.  Gefährliche Reaktionen mit weiteren Stoffen, vgl. jeweiliges Sicherheitsdatenblatt.</w:t>
            </w:r>
          </w:p>
          <w:p w:rsidR="00B1447A" w:rsidRPr="00B1447A" w:rsidRDefault="0081541F" w:rsidP="0081541F">
            <w:pPr>
              <w:rPr>
                <w:snapToGrid w:val="0"/>
                <w:sz w:val="20"/>
              </w:rPr>
            </w:pPr>
            <w:r w:rsidRPr="0081541F">
              <w:rPr>
                <w:snapToGrid w:val="0"/>
                <w:sz w:val="20"/>
              </w:rPr>
              <w:t>Nicht ins Abwasser gelangen lassen, als Sondermüll sammeln.</w:t>
            </w:r>
          </w:p>
        </w:tc>
      </w:tr>
      <w:tr w:rsidR="00B1447A" w:rsidTr="000D2A99">
        <w:trPr>
          <w:cantSplit/>
        </w:trPr>
        <w:tc>
          <w:tcPr>
            <w:tcW w:w="10768" w:type="dxa"/>
            <w:gridSpan w:val="2"/>
            <w:tcBorders>
              <w:right w:val="single" w:sz="4" w:space="0" w:color="auto"/>
            </w:tcBorders>
            <w:shd w:val="clear" w:color="auto" w:fill="FF9900"/>
            <w:vAlign w:val="center"/>
          </w:tcPr>
          <w:p w:rsidR="00B1447A" w:rsidRPr="00034E8C" w:rsidRDefault="00B1447A" w:rsidP="00B1447A">
            <w:pPr>
              <w:pStyle w:val="Heading3"/>
              <w:rPr>
                <w:caps/>
                <w:szCs w:val="28"/>
              </w:rPr>
            </w:pPr>
            <w:r w:rsidRPr="000D2A99">
              <w:rPr>
                <w:szCs w:val="28"/>
              </w:rPr>
              <w:t>Schutzmaßnahmen und Verhaltensregeln</w:t>
            </w:r>
          </w:p>
        </w:tc>
      </w:tr>
      <w:tr w:rsidR="00B1447A" w:rsidTr="003B5164">
        <w:tc>
          <w:tcPr>
            <w:tcW w:w="1186" w:type="dxa"/>
            <w:tcBorders>
              <w:bottom w:val="single" w:sz="4" w:space="0" w:color="auto"/>
            </w:tcBorders>
            <w:vAlign w:val="center"/>
          </w:tcPr>
          <w:p w:rsidR="00B1447A" w:rsidRDefault="0040691B" w:rsidP="00B1447A">
            <w:pPr>
              <w:spacing w:before="60" w:after="60"/>
              <w:jc w:val="center"/>
            </w:pPr>
            <w:r>
              <w:rPr>
                <w:noProof/>
              </w:rPr>
              <w:drawing>
                <wp:inline distT="0" distB="0" distL="0" distR="0">
                  <wp:extent cx="468000" cy="468000"/>
                  <wp:effectExtent l="0" t="0" r="8255" b="8255"/>
                  <wp:docPr id="13" name="Grafik 13"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c/ISO_7010_M009.svg/120px-ISO_7010_M009.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Default="0040691B" w:rsidP="00B1447A">
            <w:pPr>
              <w:spacing w:before="60" w:after="60"/>
              <w:jc w:val="center"/>
            </w:pPr>
            <w:r>
              <w:rPr>
                <w:noProof/>
              </w:rPr>
              <w:drawing>
                <wp:inline distT="0" distB="0" distL="0" distR="0">
                  <wp:extent cx="468000" cy="468000"/>
                  <wp:effectExtent l="0" t="0" r="8255" b="8255"/>
                  <wp:docPr id="12" name="Grafik 12"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SO_7010_M004.svg/120px-ISO_7010_M004.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Pr="00F543C2" w:rsidRDefault="0040691B" w:rsidP="00B1447A">
            <w:pPr>
              <w:spacing w:before="60" w:after="60"/>
              <w:jc w:val="center"/>
            </w:pPr>
            <w:r>
              <w:rPr>
                <w:noProof/>
              </w:rPr>
              <w:drawing>
                <wp:inline distT="0" distB="0" distL="0" distR="0">
                  <wp:extent cx="468000" cy="468000"/>
                  <wp:effectExtent l="0" t="0" r="8255" b="8255"/>
                  <wp:docPr id="16" name="Grafik 16"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0/ISO_7010_M010.svg/120px-ISO_7010_M010.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81541F" w:rsidRPr="0081541F" w:rsidRDefault="0081541F" w:rsidP="0081541F">
            <w:pPr>
              <w:rPr>
                <w:sz w:val="20"/>
              </w:rPr>
            </w:pPr>
            <w:r w:rsidRPr="0081541F">
              <w:rPr>
                <w:sz w:val="20"/>
              </w:rPr>
              <w:t>Unter funktionsfähigem Abzug arbeiten, Frontschieber weitestgehend schließen. Behälter geschlossen halten; abseits von Laugen und anderen reaktionsfähigen Stoffen aufbewahren. Kontakt mit Materialien aus unedlen Metallen vermeiden. Zum Verdünnen Säuren langsam unter Rühren in Wasser einlaufen lassen, niemals umgekehrt!  Im Labor muss Augen-Notdusche vorhanden sein. Schutzausrüstung benutzen:</w:t>
            </w:r>
          </w:p>
          <w:p w:rsidR="00B1447A" w:rsidRPr="0081541F" w:rsidRDefault="00B1447A" w:rsidP="0081541F">
            <w:pPr>
              <w:rPr>
                <w:sz w:val="20"/>
              </w:rPr>
            </w:pPr>
          </w:p>
          <w:p w:rsidR="00B1447A" w:rsidRPr="0081541F" w:rsidRDefault="0081541F" w:rsidP="0081541F">
            <w:pPr>
              <w:pStyle w:val="ListParagraph"/>
              <w:numPr>
                <w:ilvl w:val="0"/>
                <w:numId w:val="11"/>
              </w:numPr>
              <w:rPr>
                <w:sz w:val="20"/>
              </w:rPr>
            </w:pPr>
            <w:r w:rsidRPr="0081541F">
              <w:rPr>
                <w:b/>
                <w:sz w:val="20"/>
              </w:rPr>
              <w:t xml:space="preserve">Augenschutz: </w:t>
            </w:r>
            <w:r w:rsidRPr="0081541F">
              <w:rPr>
                <w:sz w:val="20"/>
              </w:rPr>
              <w:t>Dicht schließende Schutzbrille (Korbbrille), auch Sehbrillenträger!</w:t>
            </w:r>
          </w:p>
          <w:p w:rsidR="00B1447A" w:rsidRPr="0081541F" w:rsidRDefault="00B1447A" w:rsidP="0081541F">
            <w:pPr>
              <w:pStyle w:val="ListParagraph"/>
              <w:numPr>
                <w:ilvl w:val="0"/>
                <w:numId w:val="11"/>
              </w:numPr>
              <w:rPr>
                <w:sz w:val="20"/>
              </w:rPr>
            </w:pPr>
            <w:r w:rsidRPr="0081541F">
              <w:rPr>
                <w:b/>
                <w:sz w:val="20"/>
              </w:rPr>
              <w:t xml:space="preserve">Handschutz: </w:t>
            </w:r>
            <w:r w:rsidR="0081541F" w:rsidRPr="0081541F">
              <w:rPr>
                <w:sz w:val="20"/>
              </w:rPr>
              <w:t>Beständige Schutzhandschuhe aus Polychloropren, Neopren, Nitril- oder Butylkautschuk; für Schwefelsäure 98 %ig ist nur Butylkautschuk geeignet. Bei Einmalhand</w:t>
            </w:r>
            <w:r w:rsidR="0081541F">
              <w:rPr>
                <w:sz w:val="20"/>
              </w:rPr>
              <w:t xml:space="preserve">schuhen </w:t>
            </w:r>
            <w:r w:rsidR="0081541F" w:rsidRPr="0081541F">
              <w:rPr>
                <w:sz w:val="20"/>
              </w:rPr>
              <w:t>(z.B. für feinfühlige Arbeiten) Chemika</w:t>
            </w:r>
            <w:r w:rsidR="00534C32">
              <w:rPr>
                <w:sz w:val="20"/>
              </w:rPr>
              <w:t xml:space="preserve">lienbeständigkeit </w:t>
            </w:r>
            <w:r w:rsidR="0081541F" w:rsidRPr="0081541F">
              <w:rPr>
                <w:sz w:val="20"/>
              </w:rPr>
              <w:t>überprüfen.  Bei Kontakt Einmalhandschuhe wechseln.</w:t>
            </w:r>
          </w:p>
          <w:p w:rsidR="00B1447A" w:rsidRPr="0081541F" w:rsidRDefault="00B1447A" w:rsidP="0081541F">
            <w:pPr>
              <w:pStyle w:val="ListParagraph"/>
              <w:numPr>
                <w:ilvl w:val="0"/>
                <w:numId w:val="11"/>
              </w:numPr>
              <w:rPr>
                <w:sz w:val="20"/>
              </w:rPr>
            </w:pPr>
            <w:r w:rsidRPr="0081541F">
              <w:rPr>
                <w:b/>
                <w:sz w:val="20"/>
              </w:rPr>
              <w:t xml:space="preserve">Hautschutz: </w:t>
            </w:r>
            <w:r w:rsidR="0081541F" w:rsidRPr="0081541F">
              <w:rPr>
                <w:sz w:val="20"/>
              </w:rPr>
              <w:t>Nach der Tätigkeit Hände waschen, auf regelmäßige Hautpflege achten.</w:t>
            </w:r>
          </w:p>
          <w:p w:rsidR="0081541F" w:rsidRPr="0081541F" w:rsidRDefault="0081541F" w:rsidP="0081541F">
            <w:pPr>
              <w:pStyle w:val="ListParagraph"/>
              <w:numPr>
                <w:ilvl w:val="0"/>
                <w:numId w:val="11"/>
              </w:numPr>
              <w:rPr>
                <w:sz w:val="20"/>
              </w:rPr>
            </w:pPr>
            <w:r w:rsidRPr="0081541F">
              <w:rPr>
                <w:b/>
                <w:sz w:val="20"/>
              </w:rPr>
              <w:t xml:space="preserve">Atemschutz: </w:t>
            </w:r>
            <w:r w:rsidRPr="0081541F">
              <w:rPr>
                <w:sz w:val="20"/>
              </w:rPr>
              <w:t>Bei Arbeiten unter Abzug oder Absaugung oder bei kurzfristigem Einsatz geringer Mengen nicht erforderlich. Bei längerem offenem Umgang Atemschutzmaske, Gasfilter</w:t>
            </w:r>
            <w:r w:rsidRPr="0081541F">
              <w:rPr>
                <w:rFonts w:cs="Arial"/>
                <w:sz w:val="20"/>
              </w:rPr>
              <w:t xml:space="preserve"> ABEK</w:t>
            </w:r>
            <w:r w:rsidRPr="0081541F">
              <w:rPr>
                <w:sz w:val="20"/>
              </w:rPr>
              <w:t xml:space="preserve"> tragen.</w:t>
            </w:r>
          </w:p>
        </w:tc>
      </w:tr>
      <w:tr w:rsidR="00B1447A" w:rsidTr="000D2A99">
        <w:trPr>
          <w:cantSplit/>
        </w:trPr>
        <w:tc>
          <w:tcPr>
            <w:tcW w:w="10768" w:type="dxa"/>
            <w:gridSpan w:val="2"/>
            <w:shd w:val="clear" w:color="auto" w:fill="FF9900"/>
            <w:vAlign w:val="center"/>
          </w:tcPr>
          <w:p w:rsidR="00B1447A" w:rsidRPr="0085650F" w:rsidRDefault="00B1447A" w:rsidP="00B1447A">
            <w:pPr>
              <w:pStyle w:val="Heading3"/>
              <w:rPr>
                <w:caps/>
              </w:rPr>
            </w:pPr>
            <w:r w:rsidRPr="000D2A99">
              <w:rPr>
                <w:szCs w:val="28"/>
              </w:rPr>
              <w:t>Verhalten im Gefahrfall</w:t>
            </w:r>
          </w:p>
        </w:tc>
      </w:tr>
      <w:tr w:rsidR="00B1447A" w:rsidTr="003B012A">
        <w:tc>
          <w:tcPr>
            <w:tcW w:w="1186" w:type="dxa"/>
            <w:tcBorders>
              <w:bottom w:val="single" w:sz="4" w:space="0" w:color="auto"/>
            </w:tcBorders>
          </w:tcPr>
          <w:p w:rsidR="00B1447A" w:rsidRPr="00105F52" w:rsidRDefault="00B1447A" w:rsidP="00B1447A">
            <w:pPr>
              <w:spacing w:before="60" w:after="60"/>
              <w:jc w:val="center"/>
              <w:rPr>
                <w:sz w:val="20"/>
              </w:rPr>
            </w:pPr>
          </w:p>
        </w:tc>
        <w:tc>
          <w:tcPr>
            <w:tcW w:w="9582" w:type="dxa"/>
            <w:tcBorders>
              <w:bottom w:val="single" w:sz="4" w:space="0" w:color="auto"/>
            </w:tcBorders>
          </w:tcPr>
          <w:p w:rsidR="00B1447A" w:rsidRPr="0081541F" w:rsidRDefault="0081541F" w:rsidP="0081541F">
            <w:r w:rsidRPr="0081541F">
              <w:rPr>
                <w:b/>
                <w:sz w:val="20"/>
              </w:rPr>
              <w:t xml:space="preserve">Verschütten: </w:t>
            </w:r>
            <w:r w:rsidRPr="0081541F">
              <w:rPr>
                <w:sz w:val="20"/>
              </w:rPr>
              <w:t>Schutzausrüstung anlegen, bei rauchender Säure auch Atemschutz; ggf. säurebeständiges Schuhwerk wie Gummistiefel. Mit Chemikalienbinder aufnehmen und in fest verschließbarem Kunststoffgefäß als Sondermüll entsorgen. Mit viel Wasser nachreinigen. Für gute Durchlüftung sorgen.</w:t>
            </w:r>
          </w:p>
        </w:tc>
      </w:tr>
      <w:tr w:rsidR="00B1447A" w:rsidTr="000D2A99">
        <w:trPr>
          <w:cantSplit/>
        </w:trPr>
        <w:tc>
          <w:tcPr>
            <w:tcW w:w="10768" w:type="dxa"/>
            <w:gridSpan w:val="2"/>
            <w:shd w:val="clear" w:color="auto" w:fill="FF9900"/>
            <w:vAlign w:val="center"/>
          </w:tcPr>
          <w:p w:rsidR="00B1447A" w:rsidRPr="0085650F" w:rsidRDefault="00B1447A" w:rsidP="00B1447A">
            <w:pPr>
              <w:pStyle w:val="Heading3"/>
              <w:rPr>
                <w:caps/>
              </w:rPr>
            </w:pPr>
            <w:r w:rsidRPr="000D2A99">
              <w:rPr>
                <w:szCs w:val="28"/>
              </w:rPr>
              <w:t>Verhalten bei Unfällen, Erste Hilfe</w:t>
            </w:r>
          </w:p>
        </w:tc>
      </w:tr>
      <w:tr w:rsidR="00B1447A" w:rsidTr="00253485">
        <w:tc>
          <w:tcPr>
            <w:tcW w:w="1186" w:type="dxa"/>
            <w:tcBorders>
              <w:bottom w:val="single" w:sz="4" w:space="0" w:color="auto"/>
            </w:tcBorders>
            <w:vAlign w:val="center"/>
          </w:tcPr>
          <w:p w:rsidR="00B1447A" w:rsidRDefault="00B1447A" w:rsidP="00B1447A">
            <w:pPr>
              <w:spacing w:before="60" w:after="60"/>
              <w:jc w:val="center"/>
            </w:pPr>
            <w:r>
              <w:rPr>
                <w:noProof/>
              </w:rPr>
              <w:drawing>
                <wp:inline distT="0" distB="0" distL="0" distR="0" wp14:anchorId="68FBEFAD" wp14:editId="24269C16">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B1447A" w:rsidRDefault="00B1447A" w:rsidP="00B1447A">
            <w:pPr>
              <w:spacing w:before="60" w:after="60"/>
              <w:jc w:val="center"/>
            </w:pPr>
            <w:r>
              <w:rPr>
                <w:noProof/>
              </w:rPr>
              <w:drawing>
                <wp:inline distT="0" distB="0" distL="0" distR="0" wp14:anchorId="783EC278" wp14:editId="1AB76491">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B1447A" w:rsidRPr="00534C32" w:rsidRDefault="00B1447A" w:rsidP="00534C32">
            <w:pPr>
              <w:pStyle w:val="ListParagraph"/>
              <w:numPr>
                <w:ilvl w:val="0"/>
                <w:numId w:val="12"/>
              </w:numPr>
              <w:rPr>
                <w:sz w:val="20"/>
              </w:rPr>
            </w:pPr>
            <w:r w:rsidRPr="00534C32">
              <w:rPr>
                <w:b/>
                <w:sz w:val="20"/>
              </w:rPr>
              <w:t>Nach Augenkontakt</w:t>
            </w:r>
            <w:r w:rsidRPr="00534C32">
              <w:rPr>
                <w:sz w:val="20"/>
              </w:rPr>
              <w:t xml:space="preserve">: </w:t>
            </w:r>
            <w:r w:rsidR="0081541F" w:rsidRPr="00534C32">
              <w:rPr>
                <w:sz w:val="20"/>
              </w:rPr>
              <w:t xml:space="preserve">Sofort unter fließendem Wasser bei gespreiztem Lid unter Schutz des unverletzten Auges mind. 15 </w:t>
            </w:r>
            <w:r w:rsidR="00534C32" w:rsidRPr="00534C32">
              <w:rPr>
                <w:sz w:val="20"/>
              </w:rPr>
              <w:t>Minuten</w:t>
            </w:r>
            <w:r w:rsidR="0081541F" w:rsidRPr="00534C32">
              <w:rPr>
                <w:sz w:val="20"/>
              </w:rPr>
              <w:t xml:space="preserve"> spülen. Unverzüglich Augenklinik bzw. Notruf!</w:t>
            </w:r>
          </w:p>
          <w:p w:rsidR="00B1447A" w:rsidRPr="00534C32" w:rsidRDefault="00B1447A" w:rsidP="00534C32">
            <w:pPr>
              <w:pStyle w:val="ListParagraph"/>
              <w:numPr>
                <w:ilvl w:val="0"/>
                <w:numId w:val="12"/>
              </w:numPr>
              <w:rPr>
                <w:sz w:val="20"/>
              </w:rPr>
            </w:pPr>
            <w:r w:rsidRPr="00534C32">
              <w:rPr>
                <w:b/>
                <w:sz w:val="20"/>
              </w:rPr>
              <w:t>Nach Hautkontakt</w:t>
            </w:r>
            <w:r w:rsidRPr="00534C32">
              <w:rPr>
                <w:sz w:val="20"/>
              </w:rPr>
              <w:t xml:space="preserve">: </w:t>
            </w:r>
            <w:r w:rsidR="0081541F" w:rsidRPr="00534C32">
              <w:rPr>
                <w:sz w:val="20"/>
              </w:rPr>
              <w:t>Sofort ausgiebig mit viel Wasser abspülen, bei großflächigem Kontakt ggf. Notbrause benutzen! Arzt bzw. Notruf!</w:t>
            </w:r>
          </w:p>
          <w:p w:rsidR="0081541F" w:rsidRPr="00534C32" w:rsidRDefault="0081541F" w:rsidP="00534C32">
            <w:pPr>
              <w:pStyle w:val="ListParagraph"/>
              <w:numPr>
                <w:ilvl w:val="0"/>
                <w:numId w:val="12"/>
              </w:numPr>
              <w:rPr>
                <w:sz w:val="20"/>
              </w:rPr>
            </w:pPr>
            <w:r w:rsidRPr="00534C32">
              <w:rPr>
                <w:b/>
                <w:sz w:val="20"/>
              </w:rPr>
              <w:t>Nach Einatmen:</w:t>
            </w:r>
            <w:r w:rsidRPr="00534C32">
              <w:rPr>
                <w:sz w:val="20"/>
              </w:rPr>
              <w:t xml:space="preserve"> Frischluft, möglichst Dexamethason-Spray (z.B. Auxiloson) inhalieren lassen (5 Hübe pro 10 </w:t>
            </w:r>
            <w:r w:rsidR="00534C32" w:rsidRPr="00534C32">
              <w:rPr>
                <w:sz w:val="20"/>
              </w:rPr>
              <w:t>Minuten</w:t>
            </w:r>
            <w:r w:rsidRPr="00534C32">
              <w:rPr>
                <w:sz w:val="20"/>
              </w:rPr>
              <w:t>); Verdacht auf Lungenödem, Arzt!</w:t>
            </w:r>
          </w:p>
          <w:p w:rsidR="00253485" w:rsidRPr="00534C32" w:rsidRDefault="00B1447A" w:rsidP="00534C32">
            <w:pPr>
              <w:pStyle w:val="ListParagraph"/>
              <w:numPr>
                <w:ilvl w:val="0"/>
                <w:numId w:val="12"/>
              </w:numPr>
              <w:rPr>
                <w:sz w:val="20"/>
              </w:rPr>
            </w:pPr>
            <w:r w:rsidRPr="00534C32">
              <w:rPr>
                <w:b/>
                <w:sz w:val="20"/>
              </w:rPr>
              <w:t>Nach Verschlucken</w:t>
            </w:r>
            <w:r w:rsidRPr="00534C32">
              <w:rPr>
                <w:sz w:val="20"/>
              </w:rPr>
              <w:t xml:space="preserve">: </w:t>
            </w:r>
            <w:r w:rsidR="0081541F" w:rsidRPr="00534C32">
              <w:rPr>
                <w:sz w:val="20"/>
              </w:rPr>
              <w:t>Sofort sehr viel Wasser trinken lassen. Verbrechen verhindern, sonst Gefahr der Magenperforation. Unverzüglich Arzt bzw. Notruf!</w:t>
            </w:r>
          </w:p>
          <w:p w:rsidR="00534C32" w:rsidRPr="00534C32" w:rsidRDefault="00534C32" w:rsidP="00534C32">
            <w:pPr>
              <w:pStyle w:val="ListParagraph"/>
              <w:numPr>
                <w:ilvl w:val="0"/>
                <w:numId w:val="12"/>
              </w:numPr>
              <w:rPr>
                <w:sz w:val="20"/>
              </w:rPr>
            </w:pPr>
            <w:r w:rsidRPr="00534C32">
              <w:rPr>
                <w:b/>
                <w:sz w:val="20"/>
              </w:rPr>
              <w:t>Nach Kleidungskontakt:</w:t>
            </w:r>
            <w:r w:rsidRPr="00534C32">
              <w:rPr>
                <w:sz w:val="20"/>
              </w:rPr>
              <w:t xml:space="preserve"> Benetzte Kleidung sofort ablegen, Haut vorsorglich mit reichlich Wasser abwaschen.</w:t>
            </w:r>
          </w:p>
          <w:p w:rsidR="00B1447A" w:rsidRPr="003E735A" w:rsidRDefault="00B1447A" w:rsidP="00253485">
            <w:pPr>
              <w:rPr>
                <w:sz w:val="20"/>
              </w:rPr>
            </w:pPr>
          </w:p>
          <w:p w:rsidR="00B1447A" w:rsidRPr="003E735A" w:rsidRDefault="00B1447A" w:rsidP="00253485">
            <w:pPr>
              <w:rPr>
                <w:sz w:val="20"/>
              </w:rPr>
            </w:pPr>
            <w:r w:rsidRPr="00A61634">
              <w:rPr>
                <w:b/>
              </w:rPr>
              <w:t>Notruf: 112</w:t>
            </w:r>
            <w:r w:rsidRPr="003E735A">
              <w:rPr>
                <w:b/>
                <w:sz w:val="20"/>
              </w:rPr>
              <w:t xml:space="preserve">  </w:t>
            </w:r>
            <w:r w:rsidRPr="003E735A">
              <w:rPr>
                <w:sz w:val="20"/>
              </w:rPr>
              <w:t xml:space="preserve">              Ersthelfer:  Dr. Matthias Stolte</w:t>
            </w:r>
          </w:p>
        </w:tc>
      </w:tr>
    </w:tbl>
    <w:p w:rsidR="00534C32" w:rsidRDefault="00534C32">
      <w:r>
        <w:br w:type="page"/>
      </w:r>
    </w:p>
    <w:p w:rsidR="00534C32" w:rsidRDefault="00F04CDD">
      <w:bookmarkStart w:id="0" w:name="_GoBack"/>
      <w:r>
        <w:rPr>
          <w:noProof/>
        </w:rPr>
        <w:lastRenderedPageBreak/>
        <w:drawing>
          <wp:anchor distT="0" distB="0" distL="114300" distR="114300" simplePos="0" relativeHeight="251661824" behindDoc="1" locked="0" layoutInCell="1" allowOverlap="1" wp14:anchorId="5D7F1117" wp14:editId="6EBF9943">
            <wp:simplePos x="0" y="0"/>
            <wp:positionH relativeFrom="column">
              <wp:posOffset>4202430</wp:posOffset>
            </wp:positionH>
            <wp:positionV relativeFrom="paragraph">
              <wp:posOffset>821055</wp:posOffset>
            </wp:positionV>
            <wp:extent cx="1485900" cy="276225"/>
            <wp:effectExtent l="0" t="0" r="0" b="9525"/>
            <wp:wrapTight wrapText="bothSides">
              <wp:wrapPolygon edited="0">
                <wp:start x="0" y="0"/>
                <wp:lineTo x="0" y="20855"/>
                <wp:lineTo x="21323" y="20855"/>
                <wp:lineTo x="21323"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r w:rsidR="00534C32" w:rsidRPr="000F7AB7">
        <w:rPr>
          <w:b/>
          <w:noProof/>
        </w:rPr>
        <mc:AlternateContent>
          <mc:Choice Requires="wps">
            <w:drawing>
              <wp:anchor distT="0" distB="0" distL="114300" distR="114300" simplePos="0" relativeHeight="251660800" behindDoc="0" locked="0" layoutInCell="0" allowOverlap="1" wp14:anchorId="1BFC0932" wp14:editId="2EF99344">
                <wp:simplePos x="0" y="0"/>
                <wp:positionH relativeFrom="margin">
                  <wp:posOffset>-83598</wp:posOffset>
                </wp:positionH>
                <wp:positionV relativeFrom="paragraph">
                  <wp:posOffset>43992</wp:posOffset>
                </wp:positionV>
                <wp:extent cx="6991350" cy="1701210"/>
                <wp:effectExtent l="38100" t="38100" r="57150" b="514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701210"/>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31443" id="Rectangle 3" o:spid="_x0000_s1026" style="position:absolute;margin-left:-6.6pt;margin-top:3.45pt;width:550.5pt;height:133.9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" o:allowincell="f" filled="f" strokecolor="#f90" strokeweight="7pt">
                <w10:wrap anchorx="margin"/>
              </v:rect>
            </w:pict>
          </mc:Fallback>
        </mc:AlternateContent>
      </w:r>
    </w:p>
    <w:tbl>
      <w:tblPr>
        <w:tblpPr w:leftFromText="141" w:rightFromText="141" w:vertAnchor="page" w:horzAnchor="margin" w:tblpY="75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534C32" w:rsidTr="00534C32">
        <w:tc>
          <w:tcPr>
            <w:tcW w:w="1186" w:type="dxa"/>
            <w:tcBorders>
              <w:bottom w:val="single" w:sz="4" w:space="0" w:color="auto"/>
            </w:tcBorders>
            <w:shd w:val="clear" w:color="auto" w:fill="FF9900"/>
          </w:tcPr>
          <w:p w:rsidR="00534C32" w:rsidRDefault="00534C32" w:rsidP="00534C32">
            <w:pPr>
              <w:spacing w:before="60" w:after="60"/>
              <w:jc w:val="center"/>
              <w:rPr>
                <w:noProof/>
              </w:rPr>
            </w:pPr>
          </w:p>
        </w:tc>
        <w:tc>
          <w:tcPr>
            <w:tcW w:w="9582" w:type="dxa"/>
            <w:tcBorders>
              <w:bottom w:val="single" w:sz="4" w:space="0" w:color="auto"/>
            </w:tcBorders>
            <w:shd w:val="clear" w:color="auto" w:fill="FF9900"/>
            <w:vAlign w:val="center"/>
          </w:tcPr>
          <w:p w:rsidR="00534C32" w:rsidRPr="000D2A99" w:rsidRDefault="00534C32" w:rsidP="00534C32">
            <w:pPr>
              <w:pStyle w:val="Heading3"/>
              <w:rPr>
                <w:szCs w:val="28"/>
              </w:rPr>
            </w:pPr>
            <w:r>
              <w:rPr>
                <w:szCs w:val="28"/>
              </w:rPr>
              <w:t>Sachgerechte Entsorgung</w:t>
            </w:r>
          </w:p>
        </w:tc>
      </w:tr>
      <w:tr w:rsidR="00534C32" w:rsidTr="00534C32">
        <w:tc>
          <w:tcPr>
            <w:tcW w:w="1186" w:type="dxa"/>
            <w:tcBorders>
              <w:bottom w:val="single" w:sz="4" w:space="0" w:color="auto"/>
            </w:tcBorders>
          </w:tcPr>
          <w:p w:rsidR="00534C32" w:rsidRDefault="00534C32" w:rsidP="00534C32">
            <w:pPr>
              <w:spacing w:before="60" w:after="60"/>
              <w:jc w:val="center"/>
              <w:rPr>
                <w:noProof/>
              </w:rPr>
            </w:pPr>
          </w:p>
        </w:tc>
        <w:tc>
          <w:tcPr>
            <w:tcW w:w="9582" w:type="dxa"/>
            <w:tcBorders>
              <w:bottom w:val="single" w:sz="4" w:space="0" w:color="auto"/>
            </w:tcBorders>
            <w:vAlign w:val="center"/>
          </w:tcPr>
          <w:p w:rsidR="00534C32" w:rsidRPr="00253485" w:rsidRDefault="00BF3232" w:rsidP="00534C32">
            <w:r>
              <w:rPr>
                <w:noProof/>
                <w:sz w:val="20"/>
              </w:rPr>
              <w:t>Vorsichtig neutralisieren und in das entsprechende Abfallgefäß geben und der zentralen Entsorgungsstation zukommen lassen.</w:t>
            </w:r>
            <w:r w:rsidR="00534C32" w:rsidRPr="00534C32">
              <w:rPr>
                <w:noProof/>
                <w:sz w:val="20"/>
              </w:rPr>
              <w:t xml:space="preserve"> (Kontakt Frau Rubens Tel. 84711)</w:t>
            </w:r>
          </w:p>
        </w:tc>
      </w:tr>
    </w:tbl>
    <w:p w:rsidR="00534C32" w:rsidRDefault="00534C32">
      <w:pPr>
        <w:rPr>
          <w:sz w:val="20"/>
        </w:rPr>
      </w:pPr>
    </w:p>
    <w:p w:rsidR="00F04CDD" w:rsidRPr="00F04CDD" w:rsidRDefault="00F04CDD">
      <w:pPr>
        <w:rPr>
          <w:sz w:val="20"/>
        </w:rPr>
      </w:pPr>
      <w:r>
        <w:rPr>
          <w:sz w:val="20"/>
        </w:rPr>
        <w:t>02.05.2017</w:t>
      </w:r>
    </w:p>
    <w:tbl>
      <w:tblPr>
        <w:tblW w:w="10912" w:type="dxa"/>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534C32">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A0A"/>
    <w:multiLevelType w:val="hybridMultilevel"/>
    <w:tmpl w:val="93C6790C"/>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B110A"/>
    <w:multiLevelType w:val="hybridMultilevel"/>
    <w:tmpl w:val="B76895F2"/>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885089"/>
    <w:multiLevelType w:val="hybridMultilevel"/>
    <w:tmpl w:val="CD804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D9741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452D1613"/>
    <w:multiLevelType w:val="hybridMultilevel"/>
    <w:tmpl w:val="248A0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221E3E"/>
    <w:multiLevelType w:val="hybridMultilevel"/>
    <w:tmpl w:val="DEA87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7340A4"/>
    <w:multiLevelType w:val="hybridMultilevel"/>
    <w:tmpl w:val="44A85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E87283"/>
    <w:multiLevelType w:val="hybridMultilevel"/>
    <w:tmpl w:val="330E155E"/>
    <w:lvl w:ilvl="0" w:tplc="F97EFD20">
      <w:start w:val="1"/>
      <w:numFmt w:val="bullet"/>
      <w:lvlText w:val=""/>
      <w:lvlJc w:val="left"/>
      <w:pPr>
        <w:tabs>
          <w:tab w:val="num" w:pos="720"/>
        </w:tabs>
        <w:ind w:left="720" w:hanging="360"/>
      </w:pPr>
      <w:rPr>
        <w:rFonts w:ascii="Symbol" w:hAnsi="Symbol" w:hint="default"/>
        <w:color w:val="auto"/>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6D617300"/>
    <w:multiLevelType w:val="hybridMultilevel"/>
    <w:tmpl w:val="18443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733F97"/>
    <w:multiLevelType w:val="hybridMultilevel"/>
    <w:tmpl w:val="D0248C16"/>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1749DA"/>
    <w:multiLevelType w:val="hybridMultilevel"/>
    <w:tmpl w:val="F99ED9E0"/>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2A7D2B"/>
    <w:multiLevelType w:val="hybridMultilevel"/>
    <w:tmpl w:val="6636A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3"/>
  </w:num>
  <w:num w:numId="5">
    <w:abstractNumId w:val="0"/>
  </w:num>
  <w:num w:numId="6">
    <w:abstractNumId w:val="7"/>
  </w:num>
  <w:num w:numId="7">
    <w:abstractNumId w:val="1"/>
  </w:num>
  <w:num w:numId="8">
    <w:abstractNumId w:val="10"/>
  </w:num>
  <w:num w:numId="9">
    <w:abstractNumId w:val="11"/>
  </w:num>
  <w:num w:numId="10">
    <w:abstractNumId w:val="2"/>
  </w:num>
  <w:num w:numId="11">
    <w:abstractNumId w:val="6"/>
  </w:num>
  <w:num w:numId="1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4122C"/>
    <w:rsid w:val="00051236"/>
    <w:rsid w:val="00092FC1"/>
    <w:rsid w:val="000D2A99"/>
    <w:rsid w:val="000F60F9"/>
    <w:rsid w:val="000F7AB7"/>
    <w:rsid w:val="00105F52"/>
    <w:rsid w:val="00134F75"/>
    <w:rsid w:val="001475DC"/>
    <w:rsid w:val="001B3897"/>
    <w:rsid w:val="001E6E35"/>
    <w:rsid w:val="002061CF"/>
    <w:rsid w:val="0021497F"/>
    <w:rsid w:val="00253485"/>
    <w:rsid w:val="0029530E"/>
    <w:rsid w:val="002A0B08"/>
    <w:rsid w:val="002C59EA"/>
    <w:rsid w:val="002E7F70"/>
    <w:rsid w:val="00354233"/>
    <w:rsid w:val="0035766F"/>
    <w:rsid w:val="003B1AB8"/>
    <w:rsid w:val="003B5164"/>
    <w:rsid w:val="003C5550"/>
    <w:rsid w:val="003E735A"/>
    <w:rsid w:val="0040691B"/>
    <w:rsid w:val="004A7B8B"/>
    <w:rsid w:val="004F15FA"/>
    <w:rsid w:val="004F24BB"/>
    <w:rsid w:val="00521380"/>
    <w:rsid w:val="00534C32"/>
    <w:rsid w:val="00536F99"/>
    <w:rsid w:val="00543295"/>
    <w:rsid w:val="005F3320"/>
    <w:rsid w:val="00622033"/>
    <w:rsid w:val="00633564"/>
    <w:rsid w:val="00635908"/>
    <w:rsid w:val="00657F7F"/>
    <w:rsid w:val="00677045"/>
    <w:rsid w:val="006B6442"/>
    <w:rsid w:val="006D6A44"/>
    <w:rsid w:val="00714180"/>
    <w:rsid w:val="0077220A"/>
    <w:rsid w:val="007E5729"/>
    <w:rsid w:val="0081541F"/>
    <w:rsid w:val="00824381"/>
    <w:rsid w:val="00826896"/>
    <w:rsid w:val="0085650F"/>
    <w:rsid w:val="00932A9A"/>
    <w:rsid w:val="00945A76"/>
    <w:rsid w:val="009B0B11"/>
    <w:rsid w:val="009C1DD6"/>
    <w:rsid w:val="009C4AFF"/>
    <w:rsid w:val="009D46AE"/>
    <w:rsid w:val="00A177F1"/>
    <w:rsid w:val="00A22097"/>
    <w:rsid w:val="00A61634"/>
    <w:rsid w:val="00AB0BCC"/>
    <w:rsid w:val="00B05FB2"/>
    <w:rsid w:val="00B1447A"/>
    <w:rsid w:val="00B30B93"/>
    <w:rsid w:val="00B373CD"/>
    <w:rsid w:val="00BD2AE6"/>
    <w:rsid w:val="00BF3232"/>
    <w:rsid w:val="00C032A3"/>
    <w:rsid w:val="00C1287A"/>
    <w:rsid w:val="00C531FB"/>
    <w:rsid w:val="00C83821"/>
    <w:rsid w:val="00CB28B6"/>
    <w:rsid w:val="00CC30DF"/>
    <w:rsid w:val="00D24E2C"/>
    <w:rsid w:val="00D42A20"/>
    <w:rsid w:val="00D97576"/>
    <w:rsid w:val="00DC5601"/>
    <w:rsid w:val="00DF1E07"/>
    <w:rsid w:val="00E770B8"/>
    <w:rsid w:val="00ED07BD"/>
    <w:rsid w:val="00EF1C95"/>
    <w:rsid w:val="00F04CDD"/>
    <w:rsid w:val="00F30325"/>
    <w:rsid w:val="00F40DF3"/>
    <w:rsid w:val="00F543C2"/>
    <w:rsid w:val="00FC248A"/>
    <w:rsid w:val="00FC4424"/>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36F57"/>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 w:type="paragraph" w:customStyle="1" w:styleId="BA20-Feld0">
    <w:name w:val="BA20-Feld0"/>
    <w:basedOn w:val="Normal"/>
    <w:rsid w:val="002A0B08"/>
    <w:pPr>
      <w:spacing w:before="48" w:after="48"/>
      <w:jc w:val="both"/>
    </w:pPr>
  </w:style>
  <w:style w:type="paragraph" w:customStyle="1" w:styleId="TextBlockLeft">
    <w:name w:val="TextBlockLeft"/>
    <w:rsid w:val="002A0B08"/>
    <w:pPr>
      <w:tabs>
        <w:tab w:val="left" w:pos="160"/>
      </w:tabs>
    </w:pPr>
    <w:rPr>
      <w:rFonts w:ascii="Arial" w:eastAsia="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C3B3-A36C-495E-890A-587363EB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3414</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34</cp:revision>
  <cp:lastPrinted>2017-03-01T13:47:00Z</cp:lastPrinted>
  <dcterms:created xsi:type="dcterms:W3CDTF">2017-03-01T13:30:00Z</dcterms:created>
  <dcterms:modified xsi:type="dcterms:W3CDTF">2017-05-02T12:03:00Z</dcterms:modified>
</cp:coreProperties>
</file>