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-75373</wp:posOffset>
                </wp:positionH>
                <wp:positionV relativeFrom="paragraph">
                  <wp:posOffset>-14988</wp:posOffset>
                </wp:positionV>
                <wp:extent cx="6991350" cy="9195758"/>
                <wp:effectExtent l="38100" t="38100" r="57150" b="6286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195758"/>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46E3B" id="Rectangle 3" o:spid="_x0000_s1026" style="position:absolute;margin-left:-5.95pt;margin-top:-1.2pt;width:550.5pt;height:72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kRfQIAAP0EAAAOAAAAZHJzL2Uyb0RvYy54bWysVNuO0zAQfUfiHyy/d5O06SXRpquqaRDS&#10;AisWPsC1ncbCsYPtNl1W/Dtjpy1b9gUh8pCMM+PjOTNnfHt3bCU6cGOFVgVObmKMuKKaCbUr8Ncv&#10;1WiBkXVEMSK14gV+4hbfLd++ue27nI91oyXjBgGIsnnfFbhxrsujyNKGt8Te6I4rcNbatMTB0uwi&#10;ZkgP6K2MxnE8i3ptWGc05dbC33Jw4mXAr2tO3ae6ttwhWWDIzYW3Ce+tf0fLW5LvDOkaQU9pkH/I&#10;oiVCwaEXqJI4gvZGvIJqBTXa6trdUN1Guq4F5YEDsEniP9g8NqTjgQsUx3aXMtn/B0s/Hh4MEqzA&#10;c4wUaaFFn6FoRO0kRxNfnr6zOUQ9dg/GE7TdvabfLFJ63UAUXxmj+4YTBkklPj662uAXFraibf9B&#10;M0Ane6dDpY61aT0g1AAdQ0OeLg3hR4co/JxlWTKZQt8o+LIkm86ni3AGyc/bO2PdO65b5I0CG0g+&#10;wJPDvXU+HZKfQ/xpSldCytB1qVBf4MUii+Oww2opmPcGmma3XUuDDgSEU1WZDxrQrsJa4UC+UrQA&#10;FPvHB5Hc12OjWLAdEXKwIRWpvBvoQXIna5DJcxZnm8VmkY7S8WwzSuOyHK2qdTqaVcl8Wk7K9bpM&#10;fvo8kzRvBGNc+VTPkk3Sv5PEaXgGsV1Ee0XJXjOv4HnNPLpOI5QZWJ2/gV0Qgu/9oKGtZk+gA6OH&#10;GYQ7A4xGmx8Y9TB/Bbbf98RwjOR7BVrKkjT1AxsW6XQ+hoV56dm+9BBFAarADqPBXLthyPedEbsG&#10;TkpCj5Vegf5qEZThtTlkdVItzFhgcLoP/BC/XIeo37fW8hcAAAD//wMAUEsDBBQABgAIAAAAIQBG&#10;6vh+3wAAAAwBAAAPAAAAZHJzL2Rvd25yZXYueG1sTI/BTsMwDIbvSLxDZCRuW9KpoLY0nSbEJK50&#10;A4lb1pi20DhVk23l7fFO7PZb/vT7c7me3SBOOIXek4ZkqUAgNd721GrY77aLDESIhqwZPKGGXwyw&#10;rm5vSlNYf6Y3PNWxFVxCoTAauhjHQsrQdOhMWPoRiXdffnIm8ji10k7mzOVukCulHqUzPfGFzoz4&#10;3GHzUx+dhu+9olZ92t3r+DK7jf1Itnn9rvX93bx5AhFxjv8wXPRZHSp2Ovgj2SAGDYskyRnlsEpB&#10;XACV5QmIA6c0fchAVqW8fqL6AwAA//8DAFBLAQItABQABgAIAAAAIQC2gziS/gAAAOEBAAATAAAA&#10;AAAAAAAAAAAAAAAAAABbQ29udGVudF9UeXBlc10ueG1sUEsBAi0AFAAGAAgAAAAhADj9If/WAAAA&#10;lAEAAAsAAAAAAAAAAAAAAAAALwEAAF9yZWxzLy5yZWxzUEsBAi0AFAAGAAgAAAAhAAZZmRF9AgAA&#10;/QQAAA4AAAAAAAAAAAAAAAAALgIAAGRycy9lMm9Eb2MueG1sUEsBAi0AFAAGAAgAAAAhAEbq+H7f&#10;AAAADAEAAA8AAAAAAAAAAAAAAAAA1wQAAGRycy9kb3ducmV2LnhtbFBLBQYAAAAABAAEAPMAAADj&#10;BQ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Pr="00E11484" w:rsidRDefault="000D2A99" w:rsidP="000D2A99">
                            <w:pPr>
                              <w:pStyle w:val="Heading1"/>
                              <w:jc w:val="center"/>
                              <w:rPr>
                                <w:b w:val="0"/>
                                <w:sz w:val="24"/>
                              </w:rPr>
                            </w:pPr>
                            <w:r w:rsidRPr="00E11484">
                              <w:rPr>
                                <w:sz w:val="28"/>
                              </w:rPr>
                              <w:t xml:space="preserve">für </w:t>
                            </w:r>
                            <w:r w:rsidR="00F30325" w:rsidRPr="00E11484">
                              <w:rPr>
                                <w:sz w:val="28"/>
                              </w:rPr>
                              <w:t>Alkali-</w:t>
                            </w:r>
                            <w:r w:rsidR="00D42A20" w:rsidRPr="00E11484">
                              <w:rPr>
                                <w:sz w:val="28"/>
                              </w:rPr>
                              <w:t xml:space="preserve"> und</w:t>
                            </w:r>
                            <w:r w:rsidR="00F30325" w:rsidRPr="00E11484">
                              <w:rPr>
                                <w:sz w:val="28"/>
                              </w:rPr>
                              <w:t xml:space="preserve"> </w:t>
                            </w:r>
                            <w:r w:rsidR="00DF1E07" w:rsidRPr="00E11484">
                              <w:rPr>
                                <w:sz w:val="28"/>
                              </w:rPr>
                              <w:t>Erdalkali</w:t>
                            </w:r>
                            <w:r w:rsidR="00D42A20" w:rsidRPr="00E11484">
                              <w:rPr>
                                <w:sz w:val="28"/>
                              </w:rPr>
                              <w:t>-hydroxide und -oxide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521380" w:rsidRPr="00E11484" w:rsidRDefault="000D2A99" w:rsidP="000D2A99">
                      <w:pPr>
                        <w:pStyle w:val="berschrift1"/>
                        <w:jc w:val="center"/>
                        <w:rPr>
                          <w:b w:val="0"/>
                          <w:sz w:val="24"/>
                        </w:rPr>
                      </w:pPr>
                      <w:r w:rsidRPr="00E11484">
                        <w:rPr>
                          <w:sz w:val="28"/>
                        </w:rPr>
                        <w:t xml:space="preserve">für </w:t>
                      </w:r>
                      <w:r w:rsidR="00F30325" w:rsidRPr="00E11484">
                        <w:rPr>
                          <w:sz w:val="28"/>
                        </w:rPr>
                        <w:t>Alkali-</w:t>
                      </w:r>
                      <w:r w:rsidR="00D42A20" w:rsidRPr="00E11484">
                        <w:rPr>
                          <w:sz w:val="28"/>
                        </w:rPr>
                        <w:t xml:space="preserve"> und</w:t>
                      </w:r>
                      <w:r w:rsidR="00F30325" w:rsidRPr="00E11484">
                        <w:rPr>
                          <w:sz w:val="28"/>
                        </w:rPr>
                        <w:t xml:space="preserve"> </w:t>
                      </w:r>
                      <w:r w:rsidR="00DF1E07" w:rsidRPr="00E11484">
                        <w:rPr>
                          <w:sz w:val="28"/>
                        </w:rPr>
                        <w:t>Erdalkali</w:t>
                      </w:r>
                      <w:r w:rsidR="00D42A20" w:rsidRPr="00E11484">
                        <w:rPr>
                          <w:sz w:val="28"/>
                        </w:rPr>
                        <w:t>-hydroxide und -oxide</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Arbeit</w:t>
      </w:r>
      <w:r w:rsidR="000D2A99">
        <w:t>s</w:t>
      </w:r>
      <w:r>
        <w:t xml:space="preserve">bereich: </w:t>
      </w:r>
      <w:r w:rsidR="000D2A99">
        <w:t>L</w:t>
      </w:r>
      <w:r w:rsidR="00092FC1">
        <w:t>abor</w:t>
      </w:r>
    </w:p>
    <w:p w:rsidR="00D97576" w:rsidRDefault="00957273" w:rsidP="00A177F1">
      <w:pPr>
        <w:rPr>
          <w:sz w:val="28"/>
          <w:szCs w:val="18"/>
        </w:rPr>
      </w:pPr>
      <w:bookmarkStart w:id="0" w:name="_GoBack"/>
      <w:r>
        <w:rPr>
          <w:noProof/>
        </w:rPr>
        <w:drawing>
          <wp:anchor distT="0" distB="0" distL="114300" distR="114300" simplePos="0" relativeHeight="251659776" behindDoc="1" locked="0" layoutInCell="1" allowOverlap="1" wp14:anchorId="7B4A54DB" wp14:editId="6DA65A7B">
            <wp:simplePos x="0" y="0"/>
            <wp:positionH relativeFrom="column">
              <wp:posOffset>4259580</wp:posOffset>
            </wp:positionH>
            <wp:positionV relativeFrom="paragraph">
              <wp:posOffset>7174230</wp:posOffset>
            </wp:positionV>
            <wp:extent cx="1485900" cy="276225"/>
            <wp:effectExtent l="0" t="0" r="0" b="9525"/>
            <wp:wrapTight wrapText="bothSides">
              <wp:wrapPolygon edited="0">
                <wp:start x="0" y="0"/>
                <wp:lineTo x="0" y="20855"/>
                <wp:lineTo x="21323" y="20855"/>
                <wp:lineTo x="2132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D07BD" w:rsidRPr="00957273" w:rsidRDefault="00957273" w:rsidP="00A177F1">
      <w:pPr>
        <w:rPr>
          <w:sz w:val="20"/>
        </w:rPr>
      </w:pPr>
      <w:r>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105F52" w:rsidRPr="00E0321C" w:rsidRDefault="000D2A99" w:rsidP="00E0321C">
            <w:pPr>
              <w:rPr>
                <w:sz w:val="20"/>
              </w:rPr>
            </w:pPr>
            <w:r w:rsidRPr="00E0321C">
              <w:rPr>
                <w:sz w:val="20"/>
              </w:rPr>
              <w:t xml:space="preserve">Diese Betriebsanweisung gilt für den Umgang mit </w:t>
            </w:r>
            <w:r w:rsidR="00F30325" w:rsidRPr="00E0321C">
              <w:rPr>
                <w:b/>
                <w:sz w:val="20"/>
              </w:rPr>
              <w:t>Alkali-</w:t>
            </w:r>
            <w:r w:rsidR="00D42A20" w:rsidRPr="00E0321C">
              <w:rPr>
                <w:b/>
                <w:sz w:val="20"/>
              </w:rPr>
              <w:t xml:space="preserve"> und</w:t>
            </w:r>
            <w:r w:rsidR="00F30325" w:rsidRPr="00E0321C">
              <w:rPr>
                <w:b/>
                <w:sz w:val="20"/>
              </w:rPr>
              <w:t xml:space="preserve"> Erdalkali</w:t>
            </w:r>
            <w:r w:rsidR="00D42A20" w:rsidRPr="00E0321C">
              <w:rPr>
                <w:b/>
                <w:sz w:val="20"/>
              </w:rPr>
              <w:t>hydroxiden und –oxiden.</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105F52" w:rsidTr="000D2A99">
        <w:tc>
          <w:tcPr>
            <w:tcW w:w="1186" w:type="dxa"/>
            <w:tcBorders>
              <w:bottom w:val="single" w:sz="4" w:space="0" w:color="auto"/>
            </w:tcBorders>
            <w:vAlign w:val="center"/>
          </w:tcPr>
          <w:p w:rsidR="00105F52" w:rsidRDefault="00EE2AF3" w:rsidP="00034E8C">
            <w:pPr>
              <w:spacing w:before="60" w:after="60"/>
              <w:jc w:val="center"/>
            </w:pPr>
            <w:r>
              <w:rPr>
                <w:noProof/>
              </w:rPr>
              <w:drawing>
                <wp:inline distT="0" distB="0" distL="0" distR="0">
                  <wp:extent cx="468000" cy="468000"/>
                  <wp:effectExtent l="0" t="0" r="8255" b="8255"/>
                  <wp:docPr id="2" name="Grafik 2" descr="GHS-Symbol 05 Ätzwirkung - Haut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5 Ätzwirkung - Hautätze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0D2A99" w:rsidRPr="00E0321C" w:rsidRDefault="00D42A20" w:rsidP="00E0321C">
            <w:pPr>
              <w:rPr>
                <w:sz w:val="20"/>
              </w:rPr>
            </w:pPr>
            <w:r w:rsidRPr="00E0321C">
              <w:rPr>
                <w:sz w:val="20"/>
              </w:rPr>
              <w:t>Mit Säuren erfolgt heftige, exotherme Reaktion, bei Kontakt mit Ammoniumsalzen wird Ammoniak freigesetzt! Beim Verdünnen mit Wasser erfolgt exotherme Reaktion! NaOH und KOH verursachen schwere Verätzungen! CaO verursacht Verätzungen!</w:t>
            </w:r>
          </w:p>
          <w:p w:rsidR="00D42A20" w:rsidRPr="00E0321C" w:rsidRDefault="00D42A20" w:rsidP="00E0321C">
            <w:pPr>
              <w:rPr>
                <w:sz w:val="20"/>
              </w:rPr>
            </w:pPr>
            <w:r w:rsidRPr="00E0321C">
              <w:rPr>
                <w:bCs/>
                <w:sz w:val="20"/>
              </w:rPr>
              <w:t>Die Gefährlichkeit der Laugen beruht auf ihrer Ätzwirkung bis hinunter auf 5%-ige Lösungen. Besonders gefährlich ist das Einatmen feiner Stäube, da diese tief in die Atemwege eindringen und dort großflächige Verätzungen verursachen. Alle Laugen besitzen die Eigenschaft, Eiweißstoffe zu lösen, was zu tiefen Gewebszerstörungen führt. Hornhauttrübung mit Erblindungsgefahr. Perforation der Speiseröhre und des Magens möglich.</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824381">
            <w:pPr>
              <w:pStyle w:val="Heading3"/>
              <w:rPr>
                <w:caps/>
                <w:szCs w:val="28"/>
              </w:rPr>
            </w:pPr>
            <w:r w:rsidRPr="000D2A99">
              <w:rPr>
                <w:szCs w:val="28"/>
              </w:rPr>
              <w:t>Schutzmaßnahmen und Verhaltensregeln</w:t>
            </w:r>
          </w:p>
        </w:tc>
      </w:tr>
      <w:tr w:rsidR="00F30325" w:rsidTr="00824381">
        <w:tc>
          <w:tcPr>
            <w:tcW w:w="1186" w:type="dxa"/>
            <w:tcBorders>
              <w:bottom w:val="single" w:sz="4" w:space="0" w:color="auto"/>
            </w:tcBorders>
          </w:tcPr>
          <w:p w:rsidR="00F30325" w:rsidRPr="00F543C2" w:rsidRDefault="00E0321C" w:rsidP="00F30325">
            <w:pPr>
              <w:spacing w:before="60" w:after="60"/>
              <w:jc w:val="center"/>
            </w:pPr>
            <w:r>
              <w:rPr>
                <w:noProof/>
              </w:rPr>
              <w:drawing>
                <wp:inline distT="0" distB="0" distL="0" distR="0">
                  <wp:extent cx="468000" cy="468000"/>
                  <wp:effectExtent l="0" t="0" r="8255" b="8255"/>
                  <wp:docPr id="5" name="Grafik 5"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 name="Grafik 1"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20px-ISO_7010_M004.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6" name="Grafik 6"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0/ISO_7010_M010.svg/120px-ISO_7010_M010.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D42A20" w:rsidRPr="00E0321C" w:rsidRDefault="00D42A20" w:rsidP="00E0321C">
            <w:pPr>
              <w:rPr>
                <w:snapToGrid w:val="0"/>
                <w:sz w:val="20"/>
              </w:rPr>
            </w:pPr>
            <w:r w:rsidRPr="00E0321C">
              <w:rPr>
                <w:sz w:val="20"/>
              </w:rPr>
              <w:t>Nebel und Stäube nicht einatmen! Besondere Vorsicht beim Pulverisieren. Jeden Kontakt mit der Haut vermeiden.</w:t>
            </w:r>
          </w:p>
          <w:p w:rsidR="00F40DF3" w:rsidRDefault="00F40DF3" w:rsidP="00D42A20">
            <w:pPr>
              <w:rPr>
                <w:snapToGrid w:val="0"/>
                <w:sz w:val="20"/>
              </w:rPr>
            </w:pPr>
          </w:p>
          <w:p w:rsidR="00D42A20" w:rsidRPr="00E0321C" w:rsidRDefault="00D42A20" w:rsidP="00E0321C">
            <w:pPr>
              <w:pStyle w:val="ListParagraph"/>
              <w:numPr>
                <w:ilvl w:val="0"/>
                <w:numId w:val="36"/>
              </w:numPr>
              <w:rPr>
                <w:snapToGrid w:val="0"/>
                <w:sz w:val="20"/>
              </w:rPr>
            </w:pPr>
            <w:r w:rsidRPr="005D23F9">
              <w:rPr>
                <w:b/>
                <w:snapToGrid w:val="0"/>
                <w:sz w:val="20"/>
              </w:rPr>
              <w:t>Augenschutz</w:t>
            </w:r>
            <w:r w:rsidRPr="00E0321C">
              <w:rPr>
                <w:snapToGrid w:val="0"/>
                <w:sz w:val="20"/>
              </w:rPr>
              <w:t>: dicht schließende Schutzbrille (Korbbrille), auch Sehbrillenträger!</w:t>
            </w:r>
          </w:p>
          <w:p w:rsidR="00D42A20" w:rsidRPr="00E0321C" w:rsidRDefault="00D42A20" w:rsidP="00E0321C">
            <w:pPr>
              <w:pStyle w:val="ListParagraph"/>
              <w:numPr>
                <w:ilvl w:val="0"/>
                <w:numId w:val="36"/>
              </w:numPr>
              <w:rPr>
                <w:snapToGrid w:val="0"/>
              </w:rPr>
            </w:pPr>
            <w:r w:rsidRPr="005D23F9">
              <w:rPr>
                <w:b/>
                <w:snapToGrid w:val="0"/>
                <w:sz w:val="20"/>
              </w:rPr>
              <w:t>Handschutz</w:t>
            </w:r>
            <w:r w:rsidRPr="00E0321C">
              <w:rPr>
                <w:snapToGrid w:val="0"/>
                <w:sz w:val="20"/>
              </w:rPr>
              <w:t>: Latex- oder Neopren-Schutzhandschuhe (nur als kurzzeitiger Spritz- bzw. Staubschutz).</w:t>
            </w:r>
          </w:p>
        </w:tc>
      </w:tr>
      <w:tr w:rsidR="00F30325" w:rsidTr="000D2A99">
        <w:trPr>
          <w:cantSplit/>
        </w:trPr>
        <w:tc>
          <w:tcPr>
            <w:tcW w:w="10768" w:type="dxa"/>
            <w:gridSpan w:val="2"/>
            <w:shd w:val="clear" w:color="auto" w:fill="FF9900"/>
            <w:vAlign w:val="center"/>
          </w:tcPr>
          <w:p w:rsidR="00F30325" w:rsidRPr="0085650F" w:rsidRDefault="00F30325" w:rsidP="00824381">
            <w:pPr>
              <w:pStyle w:val="Heading3"/>
              <w:rPr>
                <w:caps/>
              </w:rPr>
            </w:pPr>
            <w:r w:rsidRPr="000D2A99">
              <w:rPr>
                <w:szCs w:val="28"/>
              </w:rPr>
              <w:t>Verhalten im Gefahrfall</w:t>
            </w:r>
          </w:p>
        </w:tc>
      </w:tr>
      <w:tr w:rsidR="00F40DF3" w:rsidTr="00FC248A">
        <w:tc>
          <w:tcPr>
            <w:tcW w:w="1186" w:type="dxa"/>
            <w:tcBorders>
              <w:bottom w:val="single" w:sz="4" w:space="0" w:color="auto"/>
            </w:tcBorders>
          </w:tcPr>
          <w:p w:rsidR="00F40DF3" w:rsidRPr="00105F52" w:rsidRDefault="00F40DF3" w:rsidP="00F40DF3">
            <w:pPr>
              <w:spacing w:before="60" w:after="60"/>
              <w:jc w:val="center"/>
              <w:rPr>
                <w:sz w:val="20"/>
              </w:rPr>
            </w:pPr>
          </w:p>
        </w:tc>
        <w:tc>
          <w:tcPr>
            <w:tcW w:w="9582" w:type="dxa"/>
            <w:tcBorders>
              <w:bottom w:val="single" w:sz="4" w:space="0" w:color="auto"/>
            </w:tcBorders>
          </w:tcPr>
          <w:p w:rsidR="00F40DF3" w:rsidRPr="00E0321C" w:rsidRDefault="00D42A20" w:rsidP="00E0321C">
            <w:pPr>
              <w:rPr>
                <w:b/>
                <w:sz w:val="20"/>
              </w:rPr>
            </w:pPr>
            <w:r w:rsidRPr="00E0321C">
              <w:rPr>
                <w:sz w:val="20"/>
              </w:rPr>
              <w:t>Verschüttete Substanz mit sehr viel Wasser wegspülen.</w:t>
            </w:r>
            <w:r w:rsidRPr="00E0321C">
              <w:rPr>
                <w:sz w:val="20"/>
              </w:rPr>
              <w:br/>
              <w:t>Stoffe brennen selbst nicht; Löschmaßnahmen auf Umgebung abstimmen. Kontakt mit Leichtmetallen und Zink vermeiden (Explosionsgefahr durch entstehenden Wasserstoff).</w:t>
            </w:r>
          </w:p>
        </w:tc>
      </w:tr>
      <w:tr w:rsidR="00F40DF3" w:rsidTr="000D2A99">
        <w:trPr>
          <w:cantSplit/>
        </w:trPr>
        <w:tc>
          <w:tcPr>
            <w:tcW w:w="10768" w:type="dxa"/>
            <w:gridSpan w:val="2"/>
            <w:shd w:val="clear" w:color="auto" w:fill="FF9900"/>
            <w:vAlign w:val="center"/>
          </w:tcPr>
          <w:p w:rsidR="00F40DF3" w:rsidRPr="0085650F" w:rsidRDefault="00F40DF3" w:rsidP="00824381">
            <w:pPr>
              <w:pStyle w:val="Heading3"/>
              <w:rPr>
                <w:caps/>
              </w:rPr>
            </w:pPr>
            <w:r w:rsidRPr="000D2A99">
              <w:rPr>
                <w:szCs w:val="28"/>
              </w:rPr>
              <w:t>Verhalten bei Unfällen, Erste Hilfe</w:t>
            </w:r>
          </w:p>
        </w:tc>
      </w:tr>
      <w:tr w:rsidR="00F40DF3" w:rsidTr="00B028E9">
        <w:tc>
          <w:tcPr>
            <w:tcW w:w="1186" w:type="dxa"/>
            <w:tcBorders>
              <w:bottom w:val="single" w:sz="4" w:space="0" w:color="auto"/>
            </w:tcBorders>
            <w:vAlign w:val="center"/>
          </w:tcPr>
          <w:p w:rsidR="00F40DF3" w:rsidRDefault="007E5729" w:rsidP="00B028E9">
            <w:pPr>
              <w:spacing w:before="60" w:after="60"/>
              <w:jc w:val="center"/>
            </w:pPr>
            <w:r>
              <w:rPr>
                <w:noProof/>
              </w:rPr>
              <w:drawing>
                <wp:inline distT="0" distB="0" distL="0" distR="0">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7E5729" w:rsidRDefault="007E5729" w:rsidP="00B028E9">
            <w:pPr>
              <w:spacing w:before="60" w:after="60"/>
              <w:jc w:val="center"/>
            </w:pPr>
            <w:r>
              <w:rPr>
                <w:noProof/>
              </w:rPr>
              <w:drawing>
                <wp:inline distT="0" distB="0" distL="0" distR="0">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F40DF3" w:rsidRPr="00E0321C" w:rsidRDefault="007E5729" w:rsidP="00E0321C">
            <w:pPr>
              <w:pStyle w:val="ListParagraph"/>
              <w:numPr>
                <w:ilvl w:val="0"/>
                <w:numId w:val="36"/>
              </w:numPr>
              <w:rPr>
                <w:sz w:val="20"/>
              </w:rPr>
            </w:pPr>
            <w:r w:rsidRPr="005D23F9">
              <w:rPr>
                <w:b/>
                <w:sz w:val="20"/>
              </w:rPr>
              <w:t>Nach Augenkontakt</w:t>
            </w:r>
            <w:r w:rsidRPr="00E0321C">
              <w:rPr>
                <w:sz w:val="20"/>
              </w:rPr>
              <w:t>: Mind</w:t>
            </w:r>
            <w:r w:rsidR="00E0321C">
              <w:rPr>
                <w:sz w:val="20"/>
              </w:rPr>
              <w:t>estens 15 Minuten bei geöffneter</w:t>
            </w:r>
            <w:r w:rsidRPr="00E0321C">
              <w:rPr>
                <w:sz w:val="20"/>
              </w:rPr>
              <w:t xml:space="preserve"> Lidspalt</w:t>
            </w:r>
            <w:r w:rsidR="00E0321C">
              <w:rPr>
                <w:sz w:val="20"/>
              </w:rPr>
              <w:t>e</w:t>
            </w:r>
            <w:r w:rsidRPr="00E0321C">
              <w:rPr>
                <w:sz w:val="20"/>
              </w:rPr>
              <w:t xml:space="preserve"> mit Wasser spülen. Augenarzt!</w:t>
            </w:r>
          </w:p>
          <w:p w:rsidR="007E5729" w:rsidRPr="00E0321C" w:rsidRDefault="007E5729" w:rsidP="00E0321C">
            <w:pPr>
              <w:pStyle w:val="ListParagraph"/>
              <w:numPr>
                <w:ilvl w:val="0"/>
                <w:numId w:val="36"/>
              </w:numPr>
              <w:rPr>
                <w:sz w:val="20"/>
              </w:rPr>
            </w:pPr>
            <w:r w:rsidRPr="005D23F9">
              <w:rPr>
                <w:b/>
                <w:sz w:val="20"/>
              </w:rPr>
              <w:t xml:space="preserve">Nach </w:t>
            </w:r>
            <w:r w:rsidR="00D42A20" w:rsidRPr="005D23F9">
              <w:rPr>
                <w:b/>
                <w:sz w:val="20"/>
              </w:rPr>
              <w:t>Einatmen</w:t>
            </w:r>
            <w:r w:rsidR="00D42A20" w:rsidRPr="00E0321C">
              <w:rPr>
                <w:sz w:val="20"/>
              </w:rPr>
              <w:t>: Frischluft, Arzt rufen!</w:t>
            </w:r>
          </w:p>
          <w:p w:rsidR="007E5729" w:rsidRPr="00E0321C" w:rsidRDefault="007E5729" w:rsidP="00E0321C">
            <w:pPr>
              <w:pStyle w:val="ListParagraph"/>
              <w:numPr>
                <w:ilvl w:val="0"/>
                <w:numId w:val="36"/>
              </w:numPr>
              <w:rPr>
                <w:sz w:val="20"/>
              </w:rPr>
            </w:pPr>
            <w:r w:rsidRPr="005D23F9">
              <w:rPr>
                <w:b/>
                <w:sz w:val="20"/>
              </w:rPr>
              <w:t xml:space="preserve">Nach </w:t>
            </w:r>
            <w:r w:rsidR="00D42A20" w:rsidRPr="005D23F9">
              <w:rPr>
                <w:b/>
                <w:sz w:val="20"/>
              </w:rPr>
              <w:t>Verschlucken</w:t>
            </w:r>
            <w:r w:rsidR="00D42A20" w:rsidRPr="00E0321C">
              <w:rPr>
                <w:sz w:val="20"/>
              </w:rPr>
              <w:t>: Wiederholt Wasser trinken. Erbrechen verhindern.</w:t>
            </w:r>
            <w:r w:rsidRPr="00E0321C">
              <w:rPr>
                <w:sz w:val="20"/>
              </w:rPr>
              <w:t xml:space="preserve"> Arzt rufen!</w:t>
            </w:r>
          </w:p>
          <w:p w:rsidR="00F40DF3" w:rsidRPr="00E0321C" w:rsidRDefault="007E5729" w:rsidP="00E0321C">
            <w:pPr>
              <w:pStyle w:val="ListParagraph"/>
              <w:numPr>
                <w:ilvl w:val="0"/>
                <w:numId w:val="36"/>
              </w:numPr>
              <w:rPr>
                <w:sz w:val="20"/>
              </w:rPr>
            </w:pPr>
            <w:r w:rsidRPr="005D23F9">
              <w:rPr>
                <w:b/>
                <w:sz w:val="20"/>
              </w:rPr>
              <w:t>Nach Kleidungskontakt</w:t>
            </w:r>
            <w:r w:rsidRPr="00E0321C">
              <w:rPr>
                <w:sz w:val="20"/>
              </w:rPr>
              <w:t xml:space="preserve">: Verschmutzte </w:t>
            </w:r>
            <w:r w:rsidR="00D42A20" w:rsidRPr="00E0321C">
              <w:rPr>
                <w:sz w:val="20"/>
              </w:rPr>
              <w:t xml:space="preserve">bzw. benetzte </w:t>
            </w:r>
            <w:r w:rsidR="004052ED" w:rsidRPr="00E0321C">
              <w:rPr>
                <w:sz w:val="20"/>
              </w:rPr>
              <w:t>Kleidung sofort ausziehen.</w:t>
            </w:r>
          </w:p>
          <w:p w:rsidR="00824381" w:rsidRPr="00824381" w:rsidRDefault="00824381" w:rsidP="00824381">
            <w:pPr>
              <w:pStyle w:val="ListParagraph"/>
              <w:numPr>
                <w:ilvl w:val="0"/>
                <w:numId w:val="31"/>
              </w:numPr>
              <w:spacing w:before="60" w:after="60"/>
              <w:ind w:left="0"/>
              <w:jc w:val="both"/>
              <w:rPr>
                <w:sz w:val="20"/>
              </w:rPr>
            </w:pPr>
          </w:p>
          <w:p w:rsidR="00F40DF3" w:rsidRPr="005F3320" w:rsidRDefault="00F40DF3" w:rsidP="00824381">
            <w:pPr>
              <w:spacing w:before="60" w:after="60"/>
              <w:jc w:val="both"/>
              <w:rPr>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r w:rsidR="007E5729" w:rsidTr="007E5729">
        <w:tc>
          <w:tcPr>
            <w:tcW w:w="1186" w:type="dxa"/>
            <w:tcBorders>
              <w:bottom w:val="single" w:sz="4" w:space="0" w:color="auto"/>
            </w:tcBorders>
            <w:shd w:val="clear" w:color="auto" w:fill="FF9900"/>
          </w:tcPr>
          <w:p w:rsidR="007E5729" w:rsidRDefault="007E5729" w:rsidP="007E5729">
            <w:pPr>
              <w:spacing w:before="60" w:after="60"/>
              <w:jc w:val="center"/>
              <w:rPr>
                <w:noProof/>
              </w:rPr>
            </w:pPr>
          </w:p>
        </w:tc>
        <w:tc>
          <w:tcPr>
            <w:tcW w:w="9582" w:type="dxa"/>
            <w:tcBorders>
              <w:bottom w:val="single" w:sz="4" w:space="0" w:color="auto"/>
            </w:tcBorders>
            <w:shd w:val="clear" w:color="auto" w:fill="FF9900"/>
            <w:vAlign w:val="center"/>
          </w:tcPr>
          <w:p w:rsidR="007E5729" w:rsidRPr="000D2A99" w:rsidRDefault="007E5729" w:rsidP="00824381">
            <w:pPr>
              <w:pStyle w:val="Heading3"/>
              <w:rPr>
                <w:szCs w:val="28"/>
              </w:rPr>
            </w:pPr>
            <w:r>
              <w:rPr>
                <w:szCs w:val="28"/>
              </w:rPr>
              <w:t>Sachgerechte Entsorgung</w:t>
            </w:r>
          </w:p>
        </w:tc>
      </w:tr>
      <w:tr w:rsidR="007E5729" w:rsidTr="006C5333">
        <w:tc>
          <w:tcPr>
            <w:tcW w:w="1186" w:type="dxa"/>
            <w:tcBorders>
              <w:bottom w:val="single" w:sz="4" w:space="0" w:color="auto"/>
            </w:tcBorders>
          </w:tcPr>
          <w:p w:rsidR="007E5729" w:rsidRDefault="007E5729" w:rsidP="007E5729">
            <w:pPr>
              <w:spacing w:before="60" w:after="60"/>
              <w:jc w:val="center"/>
              <w:rPr>
                <w:noProof/>
              </w:rPr>
            </w:pPr>
          </w:p>
        </w:tc>
        <w:tc>
          <w:tcPr>
            <w:tcW w:w="9582" w:type="dxa"/>
            <w:tcBorders>
              <w:bottom w:val="single" w:sz="4" w:space="0" w:color="auto"/>
            </w:tcBorders>
            <w:vAlign w:val="center"/>
          </w:tcPr>
          <w:p w:rsidR="00D42A20" w:rsidRPr="00E0321C" w:rsidRDefault="00D42A20" w:rsidP="00E0321C">
            <w:pPr>
              <w:rPr>
                <w:noProof/>
                <w:sz w:val="20"/>
              </w:rPr>
            </w:pPr>
            <w:r w:rsidRPr="00E0321C">
              <w:rPr>
                <w:sz w:val="20"/>
              </w:rPr>
              <w:t>Die Alkali- und Erdalkalihydroxide und- oxide können nach vorsichtiger Neutralisation in das Abwasser gegeben werden.</w:t>
            </w:r>
          </w:p>
          <w:p w:rsidR="007E5729" w:rsidRPr="00E0321C" w:rsidRDefault="00D42A20" w:rsidP="00E0321C">
            <w:pPr>
              <w:rPr>
                <w:noProof/>
                <w:sz w:val="20"/>
              </w:rPr>
            </w:pPr>
            <w:r w:rsidRPr="00E0321C">
              <w:rPr>
                <w:sz w:val="20"/>
              </w:rPr>
              <w:t xml:space="preserve">Abfälle in zugelassenen Transportbehältern des Entsorgers sammeln und bis zur Abgabe an einem sicheren Ort aufbewahren. Reaktive Stoffe in eine </w:t>
            </w:r>
            <w:r w:rsidR="004A3054" w:rsidRPr="00E0321C">
              <w:rPr>
                <w:sz w:val="20"/>
              </w:rPr>
              <w:t>a</w:t>
            </w:r>
            <w:r w:rsidRPr="00E0321C">
              <w:rPr>
                <w:sz w:val="20"/>
              </w:rPr>
              <w:t>bgabe</w:t>
            </w:r>
            <w:r w:rsidR="004A3054" w:rsidRPr="00E0321C">
              <w:rPr>
                <w:sz w:val="20"/>
              </w:rPr>
              <w:t>-</w:t>
            </w:r>
            <w:r w:rsidRPr="00E0321C">
              <w:rPr>
                <w:sz w:val="20"/>
              </w:rPr>
              <w:t xml:space="preserve"> und transportfähige unreaktive Form bringen; ggf. mit Universalbindemittel stabilisieren. Richtlinien des Entsorgers beachten. </w:t>
            </w:r>
            <w:r w:rsidRPr="00E0321C">
              <w:rPr>
                <w:noProof/>
                <w:sz w:val="20"/>
              </w:rPr>
              <w:t xml:space="preserve">(Kontakt: Frau Rubens Tel. </w:t>
            </w:r>
            <w:r w:rsidR="00CC05A7" w:rsidRPr="00E0321C">
              <w:rPr>
                <w:noProof/>
                <w:sz w:val="20"/>
              </w:rPr>
              <w:t>8</w:t>
            </w:r>
            <w:r w:rsidRPr="00E0321C">
              <w:rPr>
                <w:noProof/>
                <w:sz w:val="20"/>
              </w:rPr>
              <w:t>4711).</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EF1C95"/>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235F73"/>
    <w:multiLevelType w:val="hybridMultilevel"/>
    <w:tmpl w:val="0D7A6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7"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8"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D92DD7"/>
    <w:multiLevelType w:val="hybridMultilevel"/>
    <w:tmpl w:val="BBE27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8"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0C19F2"/>
    <w:multiLevelType w:val="hybridMultilevel"/>
    <w:tmpl w:val="0E043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A449CA"/>
    <w:multiLevelType w:val="hybridMultilevel"/>
    <w:tmpl w:val="35AC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B904C4"/>
    <w:multiLevelType w:val="hybridMultilevel"/>
    <w:tmpl w:val="7BF2760E"/>
    <w:lvl w:ilvl="0" w:tplc="91443FAA">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20"/>
  </w:num>
  <w:num w:numId="4">
    <w:abstractNumId w:val="35"/>
  </w:num>
  <w:num w:numId="5">
    <w:abstractNumId w:val="28"/>
  </w:num>
  <w:num w:numId="6">
    <w:abstractNumId w:val="19"/>
  </w:num>
  <w:num w:numId="7">
    <w:abstractNumId w:val="13"/>
  </w:num>
  <w:num w:numId="8">
    <w:abstractNumId w:val="2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4"/>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5"/>
  </w:num>
  <w:num w:numId="24">
    <w:abstractNumId w:val="14"/>
  </w:num>
  <w:num w:numId="25">
    <w:abstractNumId w:val="27"/>
  </w:num>
  <w:num w:numId="26">
    <w:abstractNumId w:val="10"/>
  </w:num>
  <w:num w:numId="27">
    <w:abstractNumId w:val="29"/>
  </w:num>
  <w:num w:numId="28">
    <w:abstractNumId w:val="12"/>
  </w:num>
  <w:num w:numId="29">
    <w:abstractNumId w:val="17"/>
  </w:num>
  <w:num w:numId="30">
    <w:abstractNumId w:val="31"/>
  </w:num>
  <w:num w:numId="31">
    <w:abstractNumId w:val="34"/>
  </w:num>
  <w:num w:numId="32">
    <w:abstractNumId w:val="30"/>
  </w:num>
  <w:num w:numId="33">
    <w:abstractNumId w:val="11"/>
  </w:num>
  <w:num w:numId="34">
    <w:abstractNumId w:val="32"/>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D2A99"/>
    <w:rsid w:val="000F7AB7"/>
    <w:rsid w:val="00105F52"/>
    <w:rsid w:val="00134F75"/>
    <w:rsid w:val="001E6E35"/>
    <w:rsid w:val="002061CF"/>
    <w:rsid w:val="0021497F"/>
    <w:rsid w:val="00232102"/>
    <w:rsid w:val="0029530E"/>
    <w:rsid w:val="002E7F70"/>
    <w:rsid w:val="003C5550"/>
    <w:rsid w:val="004052ED"/>
    <w:rsid w:val="004A3054"/>
    <w:rsid w:val="004A7B8B"/>
    <w:rsid w:val="004F15FA"/>
    <w:rsid w:val="004F24BB"/>
    <w:rsid w:val="00521380"/>
    <w:rsid w:val="005D23F9"/>
    <w:rsid w:val="005F3320"/>
    <w:rsid w:val="00657F7F"/>
    <w:rsid w:val="00714180"/>
    <w:rsid w:val="007E5729"/>
    <w:rsid w:val="00824381"/>
    <w:rsid w:val="0085650F"/>
    <w:rsid w:val="00932A9A"/>
    <w:rsid w:val="00957273"/>
    <w:rsid w:val="009C1DD6"/>
    <w:rsid w:val="009D46AE"/>
    <w:rsid w:val="00A177F1"/>
    <w:rsid w:val="00A22097"/>
    <w:rsid w:val="00AB0BCC"/>
    <w:rsid w:val="00B028E9"/>
    <w:rsid w:val="00C531FB"/>
    <w:rsid w:val="00C83821"/>
    <w:rsid w:val="00CC05A7"/>
    <w:rsid w:val="00D24E2C"/>
    <w:rsid w:val="00D42A20"/>
    <w:rsid w:val="00D97576"/>
    <w:rsid w:val="00DC5601"/>
    <w:rsid w:val="00DF1E07"/>
    <w:rsid w:val="00E0321C"/>
    <w:rsid w:val="00E11484"/>
    <w:rsid w:val="00ED07BD"/>
    <w:rsid w:val="00EE2AF3"/>
    <w:rsid w:val="00EF1C95"/>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3402"/>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2ED2-D3EF-428D-AD76-62334931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2124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22</cp:revision>
  <cp:lastPrinted>2017-03-01T13:47:00Z</cp:lastPrinted>
  <dcterms:created xsi:type="dcterms:W3CDTF">2017-03-01T13:30:00Z</dcterms:created>
  <dcterms:modified xsi:type="dcterms:W3CDTF">2017-05-02T12:00:00Z</dcterms:modified>
</cp:coreProperties>
</file>