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A119DD">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375AB42E" wp14:editId="2DBF2433">
                <wp:simplePos x="0" y="0"/>
                <wp:positionH relativeFrom="column">
                  <wp:posOffset>-74295</wp:posOffset>
                </wp:positionH>
                <wp:positionV relativeFrom="paragraph">
                  <wp:posOffset>-17145</wp:posOffset>
                </wp:positionV>
                <wp:extent cx="6962775" cy="9391650"/>
                <wp:effectExtent l="38100" t="38100" r="66675" b="571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391650"/>
                        </a:xfrm>
                        <a:prstGeom prst="rect">
                          <a:avLst/>
                        </a:prstGeom>
                        <a:noFill/>
                        <a:ln w="889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2CCB0" id="Rectangle 3" o:spid="_x0000_s1026" style="position:absolute;margin-left:-5.85pt;margin-top:-1.35pt;width:548.25pt;height: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" o:allowincell="f" filled="f" strokecolor="blue" strokeweight="7pt"/>
            </w:pict>
          </mc:Fallback>
        </mc:AlternateContent>
      </w:r>
      <w:r w:rsidR="003C2E04" w:rsidRPr="000F7AB7">
        <w:rPr>
          <w:b/>
          <w:noProof/>
          <w:sz w:val="20"/>
        </w:rPr>
        <mc:AlternateContent>
          <mc:Choice Requires="wps">
            <w:drawing>
              <wp:anchor distT="0" distB="0" distL="114300" distR="114300" simplePos="0" relativeHeight="251656704" behindDoc="0" locked="0" layoutInCell="0" allowOverlap="1" wp14:anchorId="66BE36B1" wp14:editId="2A451718">
                <wp:simplePos x="0" y="0"/>
                <wp:positionH relativeFrom="column">
                  <wp:posOffset>2345055</wp:posOffset>
                </wp:positionH>
                <wp:positionV relativeFrom="paragraph">
                  <wp:posOffset>11429</wp:posOffset>
                </wp:positionV>
                <wp:extent cx="2257425" cy="1190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521380" w:rsidRPr="00896318" w:rsidRDefault="00092FC1" w:rsidP="00896318">
                            <w:pPr>
                              <w:jc w:val="center"/>
                              <w:rPr>
                                <w:b/>
                                <w:sz w:val="28"/>
                              </w:rPr>
                            </w:pPr>
                            <w:r w:rsidRPr="00896318">
                              <w:rPr>
                                <w:b/>
                                <w:sz w:val="28"/>
                                <w:szCs w:val="28"/>
                              </w:rPr>
                              <w:t>f</w:t>
                            </w:r>
                            <w:r w:rsidR="000F7AB7" w:rsidRPr="00896318">
                              <w:rPr>
                                <w:b/>
                                <w:sz w:val="28"/>
                                <w:szCs w:val="28"/>
                              </w:rPr>
                              <w:t xml:space="preserve">ür </w:t>
                            </w:r>
                            <w:r w:rsidR="00896318" w:rsidRPr="00896318">
                              <w:rPr>
                                <w:b/>
                                <w:sz w:val="28"/>
                                <w:szCs w:val="28"/>
                              </w:rPr>
                              <w:t>neodisher</w:t>
                            </w:r>
                            <w:r w:rsidR="003C2E04" w:rsidRPr="00896318">
                              <w:rPr>
                                <w:b/>
                                <w:sz w:val="28"/>
                                <w:szCs w:val="28"/>
                              </w:rPr>
                              <w:t xml:space="preserve"> </w:t>
                            </w:r>
                            <w:r w:rsidR="00875847" w:rsidRPr="00896318">
                              <w:rPr>
                                <w:b/>
                                <w:sz w:val="28"/>
                                <w:szCs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E36B1" id="_x0000_t202" coordsize="21600,21600" o:spt="202" path="m,l,21600r21600,l21600,xe">
                <v:stroke joinstyle="miter"/>
                <v:path gradientshapeok="t" o:connecttype="rect"/>
              </v:shapetype>
              <v:shape id="Text Box 2" o:spid="_x0000_s1026" type="#_x0000_t202" style="position:absolute;margin-left:184.65pt;margin-top:.9pt;width:177.75pt;height:9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qytAIAALo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" o:allowincell="f" filled="f" stroked="f">
                <v:textbox>
                  <w:txbxContent>
                    <w:p w:rsidR="000F7AB7" w:rsidRDefault="000F7AB7">
                      <w:pPr>
                        <w:pStyle w:val="berschrift1"/>
                        <w:jc w:val="center"/>
                        <w:rPr>
                          <w:sz w:val="28"/>
                        </w:rPr>
                      </w:pPr>
                    </w:p>
                    <w:p w:rsidR="00521380" w:rsidRDefault="00521380">
                      <w:pPr>
                        <w:pStyle w:val="berschrift1"/>
                        <w:jc w:val="center"/>
                        <w:rPr>
                          <w:sz w:val="28"/>
                        </w:rPr>
                      </w:pPr>
                      <w:r>
                        <w:rPr>
                          <w:sz w:val="28"/>
                        </w:rPr>
                        <w:t>Betriebsanweisung</w:t>
                      </w:r>
                    </w:p>
                    <w:p w:rsidR="00092FC1" w:rsidRPr="00092FC1" w:rsidRDefault="00092FC1" w:rsidP="00092FC1">
                      <w:pPr>
                        <w:rPr>
                          <w:sz w:val="16"/>
                          <w:szCs w:val="16"/>
                        </w:rPr>
                      </w:pPr>
                    </w:p>
                    <w:p w:rsidR="00521380" w:rsidRPr="00896318" w:rsidRDefault="00092FC1" w:rsidP="00896318">
                      <w:pPr>
                        <w:jc w:val="center"/>
                        <w:rPr>
                          <w:b/>
                          <w:sz w:val="28"/>
                        </w:rPr>
                      </w:pPr>
                      <w:r w:rsidRPr="00896318">
                        <w:rPr>
                          <w:b/>
                          <w:sz w:val="28"/>
                          <w:szCs w:val="28"/>
                        </w:rPr>
                        <w:t>f</w:t>
                      </w:r>
                      <w:r w:rsidR="000F7AB7" w:rsidRPr="00896318">
                        <w:rPr>
                          <w:b/>
                          <w:sz w:val="28"/>
                          <w:szCs w:val="28"/>
                        </w:rPr>
                        <w:t xml:space="preserve">ür </w:t>
                      </w:r>
                      <w:r w:rsidR="00896318" w:rsidRPr="00896318">
                        <w:rPr>
                          <w:b/>
                          <w:sz w:val="28"/>
                          <w:szCs w:val="28"/>
                        </w:rPr>
                        <w:t>neodisher</w:t>
                      </w:r>
                      <w:r w:rsidR="003C2E04" w:rsidRPr="00896318">
                        <w:rPr>
                          <w:b/>
                          <w:sz w:val="28"/>
                          <w:szCs w:val="28"/>
                        </w:rPr>
                        <w:t xml:space="preserve"> </w:t>
                      </w:r>
                      <w:r w:rsidR="00875847" w:rsidRPr="00896318">
                        <w:rPr>
                          <w:b/>
                          <w:sz w:val="28"/>
                          <w:szCs w:val="28"/>
                        </w:rPr>
                        <w:t>N</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3690"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 xml:space="preserve">Arbeitsbereich: </w:t>
      </w:r>
      <w:r w:rsidR="009717A8">
        <w:t>L</w:t>
      </w:r>
      <w:r w:rsidR="00092FC1">
        <w:t>abor</w:t>
      </w:r>
    </w:p>
    <w:p w:rsidR="00521380" w:rsidRDefault="00C40999" w:rsidP="00A177F1">
      <w:pPr>
        <w:rPr>
          <w:sz w:val="18"/>
          <w:szCs w:val="18"/>
        </w:rPr>
      </w:pPr>
      <w:bookmarkStart w:id="0" w:name="_GoBack"/>
      <w:r>
        <w:rPr>
          <w:noProof/>
        </w:rPr>
        <w:drawing>
          <wp:anchor distT="0" distB="0" distL="114300" distR="114300" simplePos="0" relativeHeight="251659776" behindDoc="1" locked="0" layoutInCell="1" allowOverlap="1" wp14:anchorId="208DB989" wp14:editId="78138A51">
            <wp:simplePos x="0" y="0"/>
            <wp:positionH relativeFrom="column">
              <wp:posOffset>4278630</wp:posOffset>
            </wp:positionH>
            <wp:positionV relativeFrom="paragraph">
              <wp:posOffset>7107555</wp:posOffset>
            </wp:positionV>
            <wp:extent cx="1485900" cy="276225"/>
            <wp:effectExtent l="0" t="0" r="0" b="9525"/>
            <wp:wrapTight wrapText="bothSides">
              <wp:wrapPolygon edited="0">
                <wp:start x="0" y="0"/>
                <wp:lineTo x="0" y="20855"/>
                <wp:lineTo x="21323" y="20855"/>
                <wp:lineTo x="2132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97576" w:rsidRDefault="00D97576" w:rsidP="00A177F1">
      <w:pPr>
        <w:rPr>
          <w:sz w:val="18"/>
          <w:szCs w:val="18"/>
        </w:rPr>
      </w:pPr>
    </w:p>
    <w:p w:rsidR="00D97576" w:rsidRPr="002061CF" w:rsidRDefault="00C40999" w:rsidP="00A177F1">
      <w:pPr>
        <w:rPr>
          <w:sz w:val="18"/>
          <w:szCs w:val="18"/>
        </w:rPr>
      </w:pPr>
      <w:r>
        <w:rPr>
          <w:sz w:val="18"/>
          <w:szCs w:val="18"/>
        </w:rPr>
        <w:t>02.05.2017</w:t>
      </w: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875847" w:rsidTr="00875847">
        <w:tc>
          <w:tcPr>
            <w:tcW w:w="1186" w:type="dxa"/>
            <w:tcBorders>
              <w:bottom w:val="single" w:sz="4" w:space="0" w:color="auto"/>
              <w:right w:val="nil"/>
            </w:tcBorders>
            <w:shd w:val="clear" w:color="auto" w:fill="0000FF"/>
          </w:tcPr>
          <w:p w:rsidR="00875847" w:rsidRDefault="00875847" w:rsidP="000D3B37">
            <w:pPr>
              <w:overflowPunct/>
              <w:autoSpaceDE/>
              <w:autoSpaceDN/>
              <w:adjustRightInd/>
              <w:textAlignment w:val="auto"/>
            </w:pPr>
          </w:p>
        </w:tc>
        <w:tc>
          <w:tcPr>
            <w:tcW w:w="9562" w:type="dxa"/>
            <w:tcBorders>
              <w:left w:val="nil"/>
              <w:right w:val="single" w:sz="4" w:space="0" w:color="auto"/>
            </w:tcBorders>
            <w:shd w:val="clear" w:color="auto" w:fill="0000FF"/>
          </w:tcPr>
          <w:p w:rsidR="00875847" w:rsidRDefault="00875847" w:rsidP="00875847">
            <w:pPr>
              <w:pStyle w:val="Heading2"/>
              <w:tabs>
                <w:tab w:val="center" w:pos="4711"/>
                <w:tab w:val="right" w:pos="9422"/>
              </w:tabs>
              <w:jc w:val="center"/>
              <w:rPr>
                <w:b/>
              </w:rPr>
            </w:pPr>
            <w:r>
              <w:rPr>
                <w:b/>
              </w:rPr>
              <w:t>Anwendungsbereich</w:t>
            </w:r>
          </w:p>
        </w:tc>
      </w:tr>
      <w:tr w:rsidR="00875847" w:rsidTr="00875847">
        <w:tc>
          <w:tcPr>
            <w:tcW w:w="1186" w:type="dxa"/>
            <w:tcBorders>
              <w:right w:val="single" w:sz="4" w:space="0" w:color="auto"/>
            </w:tcBorders>
            <w:shd w:val="clear" w:color="auto" w:fill="auto"/>
            <w:vAlign w:val="center"/>
          </w:tcPr>
          <w:p w:rsidR="00875847" w:rsidRPr="00875847" w:rsidRDefault="00875847" w:rsidP="00875847">
            <w:pPr>
              <w:overflowPunct/>
              <w:autoSpaceDE/>
              <w:autoSpaceDN/>
              <w:adjustRightInd/>
              <w:textAlignment w:val="auto"/>
              <w:rPr>
                <w:sz w:val="20"/>
              </w:rPr>
            </w:pPr>
          </w:p>
        </w:tc>
        <w:tc>
          <w:tcPr>
            <w:tcW w:w="9562" w:type="dxa"/>
            <w:tcBorders>
              <w:left w:val="single" w:sz="4" w:space="0" w:color="auto"/>
              <w:right w:val="single" w:sz="4" w:space="0" w:color="auto"/>
            </w:tcBorders>
            <w:shd w:val="clear" w:color="auto" w:fill="auto"/>
          </w:tcPr>
          <w:p w:rsidR="00875847" w:rsidRPr="00896318" w:rsidRDefault="00875847" w:rsidP="00896318">
            <w:r w:rsidRPr="00896318">
              <w:rPr>
                <w:sz w:val="20"/>
              </w:rPr>
              <w:t xml:space="preserve">Diese Betriebsanweisung gilt für den Umgang mit </w:t>
            </w:r>
            <w:r w:rsidR="00896318" w:rsidRPr="00896318">
              <w:rPr>
                <w:b/>
                <w:sz w:val="20"/>
              </w:rPr>
              <w:t>neodisher N</w:t>
            </w:r>
            <w:r w:rsidR="00896318" w:rsidRPr="00896318">
              <w:rPr>
                <w:sz w:val="20"/>
              </w:rPr>
              <w:t>, welches als Neutralisator zur maschinellen Reinigung von Laborglas verwendet wird (Laborspülmaschine).</w:t>
            </w:r>
          </w:p>
        </w:tc>
      </w:tr>
      <w:tr w:rsidR="002C013C" w:rsidTr="000D3B37">
        <w:tc>
          <w:tcPr>
            <w:tcW w:w="1186" w:type="dxa"/>
            <w:tcBorders>
              <w:right w:val="nil"/>
            </w:tcBorders>
            <w:shd w:val="clear" w:color="auto" w:fill="0000FF"/>
          </w:tcPr>
          <w:p w:rsidR="002C013C" w:rsidRDefault="002C013C" w:rsidP="000D3B37">
            <w:pPr>
              <w:overflowPunct/>
              <w:autoSpaceDE/>
              <w:autoSpaceDN/>
              <w:adjustRightInd/>
              <w:textAlignment w:val="auto"/>
            </w:pPr>
          </w:p>
        </w:tc>
        <w:tc>
          <w:tcPr>
            <w:tcW w:w="9562" w:type="dxa"/>
            <w:tcBorders>
              <w:left w:val="nil"/>
              <w:right w:val="single" w:sz="4" w:space="0" w:color="auto"/>
            </w:tcBorders>
            <w:shd w:val="clear" w:color="auto" w:fill="0000FF"/>
          </w:tcPr>
          <w:p w:rsidR="002C013C" w:rsidRPr="0085650F" w:rsidRDefault="002C013C" w:rsidP="000D3B37">
            <w:pPr>
              <w:pStyle w:val="Heading2"/>
              <w:tabs>
                <w:tab w:val="center" w:pos="4711"/>
                <w:tab w:val="right" w:pos="9422"/>
              </w:tabs>
              <w:rPr>
                <w:b/>
                <w:caps/>
              </w:rPr>
            </w:pPr>
            <w:r>
              <w:rPr>
                <w:b/>
              </w:rPr>
              <w:tab/>
              <w:t>Gefahren für Mensch und Umwelt</w:t>
            </w:r>
            <w:r>
              <w:rPr>
                <w:b/>
              </w:rPr>
              <w:tab/>
            </w:r>
          </w:p>
        </w:tc>
      </w:tr>
      <w:tr w:rsidR="002C013C" w:rsidTr="009717A8">
        <w:tc>
          <w:tcPr>
            <w:tcW w:w="1186" w:type="dxa"/>
            <w:tcBorders>
              <w:bottom w:val="single" w:sz="4" w:space="0" w:color="auto"/>
            </w:tcBorders>
            <w:vAlign w:val="center"/>
          </w:tcPr>
          <w:p w:rsidR="003C2E04" w:rsidRDefault="003C2E04" w:rsidP="00896318">
            <w:pPr>
              <w:spacing w:before="60" w:after="60"/>
              <w:jc w:val="center"/>
            </w:pPr>
            <w:r>
              <w:rPr>
                <w:noProof/>
              </w:rPr>
              <w:drawing>
                <wp:inline distT="0" distB="0" distL="0" distR="0" wp14:anchorId="607C3FAC" wp14:editId="19A383B3">
                  <wp:extent cx="468000" cy="468000"/>
                  <wp:effectExtent l="0" t="0" r="8255" b="8255"/>
                  <wp:docPr id="2" name="Grafik 2" descr="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pictogram-acid.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2C013C" w:rsidRPr="003C2E04" w:rsidRDefault="003C2E04" w:rsidP="00161035">
            <w:pPr>
              <w:numPr>
                <w:ilvl w:val="0"/>
                <w:numId w:val="24"/>
              </w:numPr>
              <w:ind w:left="445" w:hanging="283"/>
              <w:jc w:val="both"/>
              <w:rPr>
                <w:sz w:val="20"/>
              </w:rPr>
            </w:pPr>
            <w:r w:rsidRPr="003C2E04">
              <w:rPr>
                <w:sz w:val="20"/>
              </w:rPr>
              <w:t>H290: Kann gegenüber Metallen korrosiv sein.</w:t>
            </w:r>
          </w:p>
          <w:p w:rsidR="003C2E04" w:rsidRPr="003C2E04" w:rsidRDefault="003C2E04" w:rsidP="00161035">
            <w:pPr>
              <w:numPr>
                <w:ilvl w:val="0"/>
                <w:numId w:val="24"/>
              </w:numPr>
              <w:ind w:left="445" w:hanging="283"/>
              <w:jc w:val="both"/>
              <w:rPr>
                <w:sz w:val="20"/>
              </w:rPr>
            </w:pPr>
            <w:r w:rsidRPr="003C2E04">
              <w:rPr>
                <w:sz w:val="20"/>
              </w:rPr>
              <w:t>H314: Verursacht schwere Verätzungen der Haut und schwere Augenschäden.</w:t>
            </w:r>
          </w:p>
        </w:tc>
      </w:tr>
      <w:tr w:rsidR="002C013C" w:rsidTr="000D3B37">
        <w:tc>
          <w:tcPr>
            <w:tcW w:w="1186" w:type="dxa"/>
            <w:tcBorders>
              <w:right w:val="nil"/>
            </w:tcBorders>
            <w:shd w:val="clear" w:color="auto" w:fill="0000FF"/>
          </w:tcPr>
          <w:p w:rsidR="002C013C" w:rsidRDefault="002C013C" w:rsidP="000D3B37">
            <w:pPr>
              <w:spacing w:line="360" w:lineRule="atLeast"/>
            </w:pPr>
          </w:p>
        </w:tc>
        <w:tc>
          <w:tcPr>
            <w:tcW w:w="9562" w:type="dxa"/>
            <w:tcBorders>
              <w:left w:val="nil"/>
              <w:right w:val="single" w:sz="4" w:space="0" w:color="auto"/>
            </w:tcBorders>
            <w:shd w:val="clear" w:color="auto" w:fill="0000FF"/>
          </w:tcPr>
          <w:p w:rsidR="002C013C" w:rsidRPr="0085650F" w:rsidRDefault="002C013C" w:rsidP="00161035">
            <w:pPr>
              <w:pStyle w:val="Heading3"/>
              <w:ind w:left="445" w:hanging="283"/>
              <w:rPr>
                <w:caps/>
              </w:rPr>
            </w:pPr>
            <w:r>
              <w:t>Schutzmaßnahmen und Verhaltensregeln</w:t>
            </w:r>
          </w:p>
        </w:tc>
      </w:tr>
      <w:tr w:rsidR="002C013C" w:rsidTr="00E9106E">
        <w:tc>
          <w:tcPr>
            <w:tcW w:w="1186" w:type="dxa"/>
            <w:tcBorders>
              <w:bottom w:val="single" w:sz="4" w:space="0" w:color="auto"/>
            </w:tcBorders>
            <w:vAlign w:val="center"/>
          </w:tcPr>
          <w:p w:rsidR="002C013C" w:rsidRDefault="003C2E04" w:rsidP="00E9106E">
            <w:pPr>
              <w:spacing w:before="60" w:after="60"/>
              <w:jc w:val="center"/>
            </w:pPr>
            <w:r>
              <w:rPr>
                <w:noProof/>
              </w:rPr>
              <w:drawing>
                <wp:inline distT="0" distB="0" distL="0" distR="0">
                  <wp:extent cx="468000" cy="468000"/>
                  <wp:effectExtent l="0" t="0" r="8255" b="8255"/>
                  <wp:docPr id="4" name="Grafik 4"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1/ISO_7010_M004.svg/120px-ISO_7010_M004.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3C2E04" w:rsidRDefault="003C2E04" w:rsidP="00E9106E">
            <w:pPr>
              <w:spacing w:before="60" w:after="60"/>
              <w:jc w:val="center"/>
            </w:pPr>
            <w:r>
              <w:rPr>
                <w:noProof/>
              </w:rPr>
              <w:drawing>
                <wp:inline distT="0" distB="0" distL="0" distR="0">
                  <wp:extent cx="468000" cy="468000"/>
                  <wp:effectExtent l="0" t="0" r="8255" b="8255"/>
                  <wp:docPr id="5" name="Grafik 5"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7/7c/ISO_7010_M009.svg/120px-ISO_7010_M009.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896318" w:rsidRDefault="00896318" w:rsidP="00E9106E">
            <w:pPr>
              <w:spacing w:before="60" w:after="60"/>
              <w:jc w:val="center"/>
            </w:pPr>
            <w:r>
              <w:rPr>
                <w:noProof/>
              </w:rPr>
              <w:drawing>
                <wp:inline distT="0" distB="0" distL="0" distR="0">
                  <wp:extent cx="468000" cy="468000"/>
                  <wp:effectExtent l="0" t="0" r="8255" b="8255"/>
                  <wp:docPr id="1" name="Grafik 1" descr="https://upload.wikimedia.org/wikipedia/commons/thumb/1/19/ISO_7010_M013.svg/120px-ISO_7010_M01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9/ISO_7010_M013.svg/120px-ISO_7010_M013.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2C013C" w:rsidRPr="003C2E04" w:rsidRDefault="003C2E04" w:rsidP="003C2E04">
            <w:pPr>
              <w:jc w:val="both"/>
              <w:rPr>
                <w:b/>
                <w:sz w:val="20"/>
              </w:rPr>
            </w:pPr>
            <w:r w:rsidRPr="003C2E04">
              <w:rPr>
                <w:b/>
                <w:sz w:val="20"/>
              </w:rPr>
              <w:t>Allgemeine Schutz- und Hygienemaßnahmen:</w:t>
            </w:r>
          </w:p>
          <w:p w:rsidR="003C2E04" w:rsidRDefault="003C2E04" w:rsidP="003C2E04">
            <w:pPr>
              <w:jc w:val="both"/>
              <w:rPr>
                <w:sz w:val="20"/>
              </w:rPr>
            </w:pPr>
            <w:r>
              <w:rPr>
                <w:sz w:val="20"/>
              </w:rPr>
              <w:t xml:space="preserve">Augenspülvorrichtung bereithalten. Notdusche bereithalten. Gase/Dämpfe/Aerosole nicht einatmen. Berührungen mit den Augen und der Haut vermeiden. Bei der Arbeit nicht rauchen, essen oder trinken. Vor den Pausen und bei Arbeitsende Hände wachen. Nach der Arbeit für gründliche Hautreinigung und Hautpflege sorgen. </w:t>
            </w:r>
          </w:p>
          <w:p w:rsidR="003C2E04" w:rsidRDefault="003C2E04" w:rsidP="003C2E04">
            <w:pPr>
              <w:jc w:val="both"/>
              <w:rPr>
                <w:sz w:val="20"/>
              </w:rPr>
            </w:pPr>
            <w:r>
              <w:rPr>
                <w:sz w:val="20"/>
              </w:rPr>
              <w:t>Aerosolbildung vermeiden. Die beim Umgang mit Chemikalien üblichen Vorsichtmaßnahmen sind zu beachten. Behälter dicht geschlossen halten.</w:t>
            </w:r>
          </w:p>
          <w:p w:rsidR="003C2E04" w:rsidRPr="003C2E04" w:rsidRDefault="003C2E04" w:rsidP="003C2E04">
            <w:pPr>
              <w:jc w:val="both"/>
              <w:rPr>
                <w:b/>
                <w:sz w:val="20"/>
              </w:rPr>
            </w:pPr>
            <w:r w:rsidRPr="003C2E04">
              <w:rPr>
                <w:b/>
                <w:sz w:val="20"/>
              </w:rPr>
              <w:t>Technische und organisatorische Schutzmaßnahmen zur Verhütung einer Exposition</w:t>
            </w:r>
          </w:p>
          <w:p w:rsidR="003C2E04" w:rsidRDefault="003C2E04" w:rsidP="003C2E04">
            <w:pPr>
              <w:jc w:val="both"/>
              <w:rPr>
                <w:sz w:val="20"/>
              </w:rPr>
            </w:pPr>
            <w:r>
              <w:rPr>
                <w:sz w:val="20"/>
              </w:rPr>
              <w:t>Hinweise zum Brand- und Explosionsschutz: Das Produkt ist nicht brennbar.</w:t>
            </w:r>
          </w:p>
          <w:p w:rsidR="003C2E04" w:rsidRPr="003C2E04" w:rsidRDefault="003C2E04" w:rsidP="003C2E04">
            <w:pPr>
              <w:jc w:val="both"/>
              <w:rPr>
                <w:b/>
                <w:sz w:val="20"/>
              </w:rPr>
            </w:pPr>
            <w:r w:rsidRPr="003C2E04">
              <w:rPr>
                <w:b/>
                <w:sz w:val="20"/>
              </w:rPr>
              <w:t>Persönliche Schutzausrüstung</w:t>
            </w:r>
          </w:p>
          <w:p w:rsidR="003C2E04" w:rsidRPr="003C2E04" w:rsidRDefault="003C2E04" w:rsidP="003C2E04">
            <w:pPr>
              <w:pStyle w:val="ListParagraph"/>
              <w:numPr>
                <w:ilvl w:val="0"/>
                <w:numId w:val="38"/>
              </w:numPr>
              <w:jc w:val="both"/>
              <w:rPr>
                <w:sz w:val="20"/>
              </w:rPr>
            </w:pPr>
            <w:r w:rsidRPr="003C2E04">
              <w:rPr>
                <w:sz w:val="20"/>
              </w:rPr>
              <w:t>Augenschutz: Schutzbrille mit Seitenschutz</w:t>
            </w:r>
          </w:p>
          <w:p w:rsidR="003C2E04" w:rsidRPr="003C2E04" w:rsidRDefault="003C2E04" w:rsidP="003C2E04">
            <w:pPr>
              <w:pStyle w:val="ListParagraph"/>
              <w:numPr>
                <w:ilvl w:val="0"/>
                <w:numId w:val="38"/>
              </w:numPr>
              <w:jc w:val="both"/>
              <w:rPr>
                <w:sz w:val="20"/>
              </w:rPr>
            </w:pPr>
            <w:r w:rsidRPr="003C2E04">
              <w:rPr>
                <w:sz w:val="20"/>
              </w:rPr>
              <w:t>Handschutz: Schutzhandschuhe</w:t>
            </w:r>
          </w:p>
          <w:p w:rsidR="003C2E04" w:rsidRPr="003C2E04" w:rsidRDefault="003C2E04" w:rsidP="003C2E04">
            <w:pPr>
              <w:pStyle w:val="ListParagraph"/>
              <w:numPr>
                <w:ilvl w:val="0"/>
                <w:numId w:val="38"/>
              </w:numPr>
              <w:jc w:val="both"/>
              <w:rPr>
                <w:sz w:val="20"/>
              </w:rPr>
            </w:pPr>
            <w:r w:rsidRPr="003C2E04">
              <w:rPr>
                <w:sz w:val="20"/>
              </w:rPr>
              <w:t>Körperschutz: Chemieübliche Arbeitskleidung. Sicherheitsschuhe</w:t>
            </w:r>
          </w:p>
        </w:tc>
      </w:tr>
      <w:tr w:rsidR="000D3B37" w:rsidTr="000D3B37">
        <w:trPr>
          <w:trHeight w:val="300"/>
        </w:trPr>
        <w:tc>
          <w:tcPr>
            <w:tcW w:w="10748" w:type="dxa"/>
            <w:gridSpan w:val="2"/>
            <w:tcBorders>
              <w:bottom w:val="single" w:sz="4" w:space="0" w:color="auto"/>
            </w:tcBorders>
            <w:shd w:val="clear" w:color="auto" w:fill="0000FF"/>
            <w:vAlign w:val="center"/>
          </w:tcPr>
          <w:p w:rsidR="000D3B37" w:rsidRPr="000D3B37" w:rsidRDefault="000D3B37" w:rsidP="00161035">
            <w:pPr>
              <w:ind w:left="445" w:hanging="283"/>
              <w:jc w:val="center"/>
              <w:rPr>
                <w:rFonts w:cs="Arial"/>
                <w:b/>
                <w:sz w:val="28"/>
                <w:szCs w:val="28"/>
              </w:rPr>
            </w:pPr>
            <w:r w:rsidRPr="000D3B37">
              <w:rPr>
                <w:rFonts w:cs="Arial"/>
                <w:b/>
                <w:sz w:val="28"/>
                <w:szCs w:val="28"/>
              </w:rPr>
              <w:t>Verhalten bei Störungen</w:t>
            </w:r>
          </w:p>
        </w:tc>
      </w:tr>
      <w:tr w:rsidR="002C013C" w:rsidTr="000D3B37">
        <w:tc>
          <w:tcPr>
            <w:tcW w:w="1186" w:type="dxa"/>
            <w:tcBorders>
              <w:bottom w:val="single" w:sz="4" w:space="0" w:color="auto"/>
            </w:tcBorders>
          </w:tcPr>
          <w:p w:rsidR="002C013C" w:rsidRPr="00F543C2" w:rsidRDefault="002C013C" w:rsidP="000D3B37">
            <w:pPr>
              <w:spacing w:before="60" w:after="60"/>
              <w:jc w:val="center"/>
            </w:pPr>
          </w:p>
        </w:tc>
        <w:tc>
          <w:tcPr>
            <w:tcW w:w="9562" w:type="dxa"/>
            <w:tcBorders>
              <w:bottom w:val="single" w:sz="4" w:space="0" w:color="auto"/>
            </w:tcBorders>
          </w:tcPr>
          <w:p w:rsidR="002C013C" w:rsidRDefault="00632F93" w:rsidP="00632F93">
            <w:pPr>
              <w:rPr>
                <w:sz w:val="20"/>
              </w:rPr>
            </w:pPr>
            <w:r>
              <w:rPr>
                <w:sz w:val="20"/>
              </w:rPr>
              <w:t>Geeignete Löschmittel: Löschmaßnahmen auf Umgebungsbrand abstimmen</w:t>
            </w:r>
          </w:p>
          <w:p w:rsidR="00632F93" w:rsidRDefault="00632F93" w:rsidP="00632F93">
            <w:pPr>
              <w:rPr>
                <w:sz w:val="20"/>
              </w:rPr>
            </w:pPr>
            <w:r>
              <w:rPr>
                <w:sz w:val="20"/>
              </w:rPr>
              <w:t>Ungeeignete Löschmittel: Wasservollstrahl</w:t>
            </w:r>
          </w:p>
          <w:p w:rsidR="00632F93" w:rsidRDefault="00632F93" w:rsidP="00632F93">
            <w:pPr>
              <w:rPr>
                <w:sz w:val="20"/>
              </w:rPr>
            </w:pPr>
            <w:r>
              <w:rPr>
                <w:sz w:val="20"/>
              </w:rPr>
              <w:t>Berührung mit Hau</w:t>
            </w:r>
            <w:r w:rsidR="00BB0151">
              <w:rPr>
                <w:sz w:val="20"/>
              </w:rPr>
              <w:t>t, Augen und Kleidung vermeiden</w:t>
            </w:r>
            <w:r>
              <w:rPr>
                <w:sz w:val="20"/>
              </w:rPr>
              <w:t>.</w:t>
            </w:r>
          </w:p>
          <w:p w:rsidR="00632F93" w:rsidRDefault="00632F93" w:rsidP="00632F93">
            <w:pPr>
              <w:rPr>
                <w:sz w:val="20"/>
              </w:rPr>
            </w:pPr>
            <w:r>
              <w:rPr>
                <w:sz w:val="20"/>
              </w:rPr>
              <w:t>Nicht in die Kanalisation/Oberflächenwasser/Grundwasser gelangen lassen.</w:t>
            </w:r>
          </w:p>
          <w:p w:rsidR="00632F93" w:rsidRDefault="00632F93" w:rsidP="00632F93">
            <w:pPr>
              <w:rPr>
                <w:sz w:val="20"/>
              </w:rPr>
            </w:pPr>
            <w:r>
              <w:rPr>
                <w:sz w:val="20"/>
              </w:rPr>
              <w:t>Mit geeigneten flüssigkeitsbindenden Materialien aufnehmen. Das aufgenommene Material vorschriftsmäßig entsorgen.</w:t>
            </w:r>
          </w:p>
          <w:p w:rsidR="00632F93" w:rsidRPr="00034E8C" w:rsidRDefault="00632F93" w:rsidP="00632F93">
            <w:pPr>
              <w:rPr>
                <w:sz w:val="20"/>
              </w:rPr>
            </w:pPr>
            <w:r>
              <w:rPr>
                <w:sz w:val="20"/>
              </w:rPr>
              <w:t>Explosions- und Brandgase nicht einatmen. Bei Brand geeignetes Atemschutzgerät benutzen.</w:t>
            </w:r>
          </w:p>
        </w:tc>
      </w:tr>
      <w:tr w:rsidR="000D3B37" w:rsidTr="000D3B37">
        <w:trPr>
          <w:trHeight w:val="300"/>
        </w:trPr>
        <w:tc>
          <w:tcPr>
            <w:tcW w:w="10748" w:type="dxa"/>
            <w:gridSpan w:val="2"/>
            <w:tcBorders>
              <w:bottom w:val="single" w:sz="4" w:space="0" w:color="auto"/>
            </w:tcBorders>
            <w:shd w:val="clear" w:color="auto" w:fill="0000FF"/>
          </w:tcPr>
          <w:p w:rsidR="000D3B37" w:rsidRPr="000D3B37" w:rsidRDefault="000D3B37" w:rsidP="00161035">
            <w:pPr>
              <w:ind w:left="445" w:hanging="283"/>
              <w:jc w:val="center"/>
              <w:rPr>
                <w:rFonts w:ascii="Univers (W1)" w:hAnsi="Univers (W1)"/>
                <w:b/>
                <w:sz w:val="28"/>
                <w:szCs w:val="28"/>
              </w:rPr>
            </w:pPr>
            <w:r w:rsidRPr="000D3B37">
              <w:rPr>
                <w:rFonts w:ascii="Univers (W1)" w:hAnsi="Univers (W1)"/>
                <w:b/>
                <w:sz w:val="28"/>
                <w:szCs w:val="28"/>
              </w:rPr>
              <w:t>Verhalten bei Unfällen, Erste Hilfe</w:t>
            </w:r>
          </w:p>
        </w:tc>
      </w:tr>
      <w:tr w:rsidR="002C013C" w:rsidTr="009717A8">
        <w:tc>
          <w:tcPr>
            <w:tcW w:w="1186" w:type="dxa"/>
            <w:tcBorders>
              <w:bottom w:val="single" w:sz="4" w:space="0" w:color="auto"/>
            </w:tcBorders>
            <w:vAlign w:val="center"/>
          </w:tcPr>
          <w:p w:rsidR="002C013C" w:rsidRDefault="002C013C" w:rsidP="009717A8">
            <w:pPr>
              <w:spacing w:before="60" w:after="60"/>
              <w:jc w:val="center"/>
            </w:pPr>
            <w:r w:rsidRPr="00D117D2">
              <w:rPr>
                <w:noProof/>
              </w:rPr>
              <w:drawing>
                <wp:inline distT="0" distB="0" distL="0" distR="0" wp14:anchorId="46DE353C" wp14:editId="55AD1F61">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632F93" w:rsidRDefault="00632F93" w:rsidP="009717A8">
            <w:pPr>
              <w:spacing w:before="60" w:after="60"/>
              <w:jc w:val="center"/>
            </w:pPr>
            <w:r>
              <w:rPr>
                <w:noProof/>
              </w:rPr>
              <w:drawing>
                <wp:inline distT="0" distB="0" distL="0" distR="0">
                  <wp:extent cx="468000" cy="468000"/>
                  <wp:effectExtent l="0" t="0" r="8255" b="8255"/>
                  <wp:docPr id="6" name="Grafik 6"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1/13/ISO_7010_E011.svg/120px-ISO_7010_E011.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632F93" w:rsidRPr="00632F93" w:rsidRDefault="00632F93" w:rsidP="00632F93">
            <w:pPr>
              <w:jc w:val="both"/>
              <w:rPr>
                <w:sz w:val="20"/>
              </w:rPr>
            </w:pPr>
            <w:r>
              <w:rPr>
                <w:sz w:val="20"/>
              </w:rPr>
              <w:t>In allen Fällen dem Arzt das Sicherheitsdatenblatt vorzeigen.</w:t>
            </w:r>
          </w:p>
          <w:p w:rsidR="00632F93" w:rsidRDefault="00632F93" w:rsidP="00632F93">
            <w:pPr>
              <w:pStyle w:val="ListParagraph"/>
              <w:numPr>
                <w:ilvl w:val="0"/>
                <w:numId w:val="39"/>
              </w:numPr>
              <w:jc w:val="both"/>
              <w:rPr>
                <w:sz w:val="20"/>
              </w:rPr>
            </w:pPr>
            <w:r w:rsidRPr="00A119DD">
              <w:rPr>
                <w:b/>
                <w:sz w:val="20"/>
              </w:rPr>
              <w:t>Nach Kleidungskontakt</w:t>
            </w:r>
            <w:r>
              <w:rPr>
                <w:sz w:val="20"/>
              </w:rPr>
              <w:t>: Beschmutzte, getränkte Kleidung sofort ausziehen und sicher entfernen. Gründliche Körperreinigung vornehmen (Dusch- oder Vollbad).</w:t>
            </w:r>
          </w:p>
          <w:p w:rsidR="00632F93" w:rsidRDefault="00632F93" w:rsidP="00632F93">
            <w:pPr>
              <w:pStyle w:val="ListParagraph"/>
              <w:numPr>
                <w:ilvl w:val="0"/>
                <w:numId w:val="39"/>
              </w:numPr>
              <w:jc w:val="both"/>
              <w:rPr>
                <w:sz w:val="20"/>
              </w:rPr>
            </w:pPr>
            <w:r w:rsidRPr="00A119DD">
              <w:rPr>
                <w:b/>
                <w:sz w:val="20"/>
              </w:rPr>
              <w:t>Nach Einatmen</w:t>
            </w:r>
            <w:r>
              <w:rPr>
                <w:sz w:val="20"/>
              </w:rPr>
              <w:t>: Für Frischluft sorgen. Nach Einatmen von Sprühnebeln ärztlichen Rat einholen.</w:t>
            </w:r>
          </w:p>
          <w:p w:rsidR="00632F93" w:rsidRDefault="00632F93" w:rsidP="00632F93">
            <w:pPr>
              <w:pStyle w:val="ListParagraph"/>
              <w:numPr>
                <w:ilvl w:val="0"/>
                <w:numId w:val="39"/>
              </w:numPr>
              <w:jc w:val="both"/>
              <w:rPr>
                <w:sz w:val="20"/>
              </w:rPr>
            </w:pPr>
            <w:r w:rsidRPr="00A119DD">
              <w:rPr>
                <w:b/>
                <w:sz w:val="20"/>
              </w:rPr>
              <w:t>Nach Augenkontakt</w:t>
            </w:r>
            <w:r>
              <w:rPr>
                <w:sz w:val="20"/>
              </w:rPr>
              <w:t xml:space="preserve">: Bei Berührungen mit den </w:t>
            </w:r>
            <w:r w:rsidR="00A119DD">
              <w:rPr>
                <w:sz w:val="20"/>
              </w:rPr>
              <w:t>Augen</w:t>
            </w:r>
            <w:r>
              <w:rPr>
                <w:sz w:val="20"/>
              </w:rPr>
              <w:t xml:space="preserve"> sofort mit viel Wasser 15 Minuten lang spülen. Sofort Arzt hinzuziehen.</w:t>
            </w:r>
          </w:p>
          <w:p w:rsidR="00632F93" w:rsidRDefault="00632F93" w:rsidP="00632F93">
            <w:pPr>
              <w:pStyle w:val="ListParagraph"/>
              <w:numPr>
                <w:ilvl w:val="0"/>
                <w:numId w:val="39"/>
              </w:numPr>
              <w:jc w:val="both"/>
              <w:rPr>
                <w:sz w:val="20"/>
              </w:rPr>
            </w:pPr>
            <w:r w:rsidRPr="00A119DD">
              <w:rPr>
                <w:b/>
                <w:sz w:val="20"/>
              </w:rPr>
              <w:t>Nach Hautkontakt</w:t>
            </w:r>
            <w:r>
              <w:rPr>
                <w:sz w:val="20"/>
              </w:rPr>
              <w:t>: Bei Berührung mit der Haut sofort abwaschen mit viel Wasser. Ärztlicher Behandlung zuführen.</w:t>
            </w:r>
          </w:p>
          <w:p w:rsidR="00632F93" w:rsidRDefault="00632F93" w:rsidP="00632F93">
            <w:pPr>
              <w:pStyle w:val="ListParagraph"/>
              <w:numPr>
                <w:ilvl w:val="0"/>
                <w:numId w:val="39"/>
              </w:numPr>
              <w:jc w:val="both"/>
              <w:rPr>
                <w:sz w:val="20"/>
              </w:rPr>
            </w:pPr>
            <w:r w:rsidRPr="00A119DD">
              <w:rPr>
                <w:b/>
                <w:sz w:val="20"/>
              </w:rPr>
              <w:t>Nach Verschlucken</w:t>
            </w:r>
            <w:r>
              <w:rPr>
                <w:sz w:val="20"/>
              </w:rPr>
              <w:t xml:space="preserve">: Bei Verschlucken sofort ärztlichen Rat einholen und Verpackung oder </w:t>
            </w:r>
            <w:r w:rsidR="00A119DD">
              <w:rPr>
                <w:sz w:val="20"/>
              </w:rPr>
              <w:t>Etikett</w:t>
            </w:r>
            <w:r>
              <w:rPr>
                <w:sz w:val="20"/>
              </w:rPr>
              <w:t xml:space="preserve"> vorzeigen. Mund gründlich mit Wasser spülen. Reichlich Wasser in kleinen Schlucken trinken lassen. Kein Erbrechen einleiten.</w:t>
            </w:r>
          </w:p>
          <w:p w:rsidR="00632F93" w:rsidRPr="00632F93" w:rsidRDefault="00632F93" w:rsidP="00632F93">
            <w:pPr>
              <w:jc w:val="both"/>
              <w:rPr>
                <w:sz w:val="20"/>
              </w:rPr>
            </w:pPr>
          </w:p>
          <w:p w:rsidR="000D3B37" w:rsidRPr="00092FC1" w:rsidRDefault="000D3B37" w:rsidP="00632F93">
            <w:pPr>
              <w:jc w:val="both"/>
              <w:rPr>
                <w:sz w:val="21"/>
                <w:szCs w:val="21"/>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bl>
    <w:tbl>
      <w:tblPr>
        <w:tblW w:w="10912" w:type="dxa"/>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679F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78116A5"/>
    <w:multiLevelType w:val="hybridMultilevel"/>
    <w:tmpl w:val="F920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E74F89"/>
    <w:multiLevelType w:val="hybridMultilevel"/>
    <w:tmpl w:val="B936BDC4"/>
    <w:lvl w:ilvl="0" w:tplc="4128F836">
      <w:numFmt w:val="bullet"/>
      <w:lvlText w:val="-"/>
      <w:lvlJc w:val="left"/>
      <w:pPr>
        <w:ind w:left="575" w:hanging="360"/>
      </w:pPr>
      <w:rPr>
        <w:rFonts w:ascii="Arial" w:eastAsia="Times New Roman" w:hAnsi="Arial" w:cs="Arial" w:hint="default"/>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BD3CD1"/>
    <w:multiLevelType w:val="hybridMultilevel"/>
    <w:tmpl w:val="FAFAE896"/>
    <w:lvl w:ilvl="0" w:tplc="04070001">
      <w:start w:val="1"/>
      <w:numFmt w:val="bullet"/>
      <w:lvlText w:val=""/>
      <w:lvlJc w:val="left"/>
      <w:pPr>
        <w:ind w:left="935" w:hanging="360"/>
      </w:pPr>
      <w:rPr>
        <w:rFonts w:ascii="Symbol" w:hAnsi="Symbol" w:hint="default"/>
      </w:rPr>
    </w:lvl>
    <w:lvl w:ilvl="1" w:tplc="690C90AC">
      <w:numFmt w:val="bullet"/>
      <w:lvlText w:val="-"/>
      <w:lvlJc w:val="left"/>
      <w:pPr>
        <w:ind w:left="1655" w:hanging="360"/>
      </w:pPr>
      <w:rPr>
        <w:rFonts w:ascii="Arial" w:eastAsia="Times New Roman" w:hAnsi="Arial" w:cs="Arial" w:hint="default"/>
        <w:sz w:val="22"/>
      </w:rPr>
    </w:lvl>
    <w:lvl w:ilvl="2" w:tplc="04070005" w:tentative="1">
      <w:start w:val="1"/>
      <w:numFmt w:val="bullet"/>
      <w:lvlText w:val=""/>
      <w:lvlJc w:val="left"/>
      <w:pPr>
        <w:ind w:left="2375" w:hanging="360"/>
      </w:pPr>
      <w:rPr>
        <w:rFonts w:ascii="Wingdings" w:hAnsi="Wingdings" w:hint="default"/>
      </w:rPr>
    </w:lvl>
    <w:lvl w:ilvl="3" w:tplc="04070001" w:tentative="1">
      <w:start w:val="1"/>
      <w:numFmt w:val="bullet"/>
      <w:lvlText w:val=""/>
      <w:lvlJc w:val="left"/>
      <w:pPr>
        <w:ind w:left="3095" w:hanging="360"/>
      </w:pPr>
      <w:rPr>
        <w:rFonts w:ascii="Symbol" w:hAnsi="Symbol" w:hint="default"/>
      </w:rPr>
    </w:lvl>
    <w:lvl w:ilvl="4" w:tplc="04070003" w:tentative="1">
      <w:start w:val="1"/>
      <w:numFmt w:val="bullet"/>
      <w:lvlText w:val="o"/>
      <w:lvlJc w:val="left"/>
      <w:pPr>
        <w:ind w:left="3815" w:hanging="360"/>
      </w:pPr>
      <w:rPr>
        <w:rFonts w:ascii="Courier New" w:hAnsi="Courier New" w:cs="Courier New" w:hint="default"/>
      </w:rPr>
    </w:lvl>
    <w:lvl w:ilvl="5" w:tplc="04070005" w:tentative="1">
      <w:start w:val="1"/>
      <w:numFmt w:val="bullet"/>
      <w:lvlText w:val=""/>
      <w:lvlJc w:val="left"/>
      <w:pPr>
        <w:ind w:left="4535" w:hanging="360"/>
      </w:pPr>
      <w:rPr>
        <w:rFonts w:ascii="Wingdings" w:hAnsi="Wingdings" w:hint="default"/>
      </w:rPr>
    </w:lvl>
    <w:lvl w:ilvl="6" w:tplc="04070001" w:tentative="1">
      <w:start w:val="1"/>
      <w:numFmt w:val="bullet"/>
      <w:lvlText w:val=""/>
      <w:lvlJc w:val="left"/>
      <w:pPr>
        <w:ind w:left="5255" w:hanging="360"/>
      </w:pPr>
      <w:rPr>
        <w:rFonts w:ascii="Symbol" w:hAnsi="Symbol" w:hint="default"/>
      </w:rPr>
    </w:lvl>
    <w:lvl w:ilvl="7" w:tplc="04070003" w:tentative="1">
      <w:start w:val="1"/>
      <w:numFmt w:val="bullet"/>
      <w:lvlText w:val="o"/>
      <w:lvlJc w:val="left"/>
      <w:pPr>
        <w:ind w:left="5975" w:hanging="360"/>
      </w:pPr>
      <w:rPr>
        <w:rFonts w:ascii="Courier New" w:hAnsi="Courier New" w:cs="Courier New" w:hint="default"/>
      </w:rPr>
    </w:lvl>
    <w:lvl w:ilvl="8" w:tplc="04070005" w:tentative="1">
      <w:start w:val="1"/>
      <w:numFmt w:val="bullet"/>
      <w:lvlText w:val=""/>
      <w:lvlJc w:val="left"/>
      <w:pPr>
        <w:ind w:left="6695" w:hanging="360"/>
      </w:pPr>
      <w:rPr>
        <w:rFonts w:ascii="Wingdings" w:hAnsi="Wingdings" w:hint="default"/>
      </w:rPr>
    </w:lvl>
  </w:abstractNum>
  <w:abstractNum w:abstractNumId="18"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9"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0"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9218B"/>
    <w:multiLevelType w:val="hybridMultilevel"/>
    <w:tmpl w:val="10DAE5DC"/>
    <w:lvl w:ilvl="0" w:tplc="04070001">
      <w:start w:val="1"/>
      <w:numFmt w:val="bullet"/>
      <w:lvlText w:val=""/>
      <w:lvlJc w:val="left"/>
      <w:pPr>
        <w:ind w:left="574" w:hanging="360"/>
      </w:pPr>
      <w:rPr>
        <w:rFonts w:ascii="Symbol" w:hAnsi="Symbol" w:hint="default"/>
      </w:rPr>
    </w:lvl>
    <w:lvl w:ilvl="1" w:tplc="04070003" w:tentative="1">
      <w:start w:val="1"/>
      <w:numFmt w:val="bullet"/>
      <w:lvlText w:val="o"/>
      <w:lvlJc w:val="left"/>
      <w:pPr>
        <w:ind w:left="1294" w:hanging="360"/>
      </w:pPr>
      <w:rPr>
        <w:rFonts w:ascii="Courier New" w:hAnsi="Courier New" w:cs="Courier New" w:hint="default"/>
      </w:rPr>
    </w:lvl>
    <w:lvl w:ilvl="2" w:tplc="04070005" w:tentative="1">
      <w:start w:val="1"/>
      <w:numFmt w:val="bullet"/>
      <w:lvlText w:val=""/>
      <w:lvlJc w:val="left"/>
      <w:pPr>
        <w:ind w:left="2014" w:hanging="360"/>
      </w:pPr>
      <w:rPr>
        <w:rFonts w:ascii="Wingdings" w:hAnsi="Wingdings" w:hint="default"/>
      </w:rPr>
    </w:lvl>
    <w:lvl w:ilvl="3" w:tplc="04070001" w:tentative="1">
      <w:start w:val="1"/>
      <w:numFmt w:val="bullet"/>
      <w:lvlText w:val=""/>
      <w:lvlJc w:val="left"/>
      <w:pPr>
        <w:ind w:left="2734" w:hanging="360"/>
      </w:pPr>
      <w:rPr>
        <w:rFonts w:ascii="Symbol" w:hAnsi="Symbol" w:hint="default"/>
      </w:rPr>
    </w:lvl>
    <w:lvl w:ilvl="4" w:tplc="04070003" w:tentative="1">
      <w:start w:val="1"/>
      <w:numFmt w:val="bullet"/>
      <w:lvlText w:val="o"/>
      <w:lvlJc w:val="left"/>
      <w:pPr>
        <w:ind w:left="3454" w:hanging="360"/>
      </w:pPr>
      <w:rPr>
        <w:rFonts w:ascii="Courier New" w:hAnsi="Courier New" w:cs="Courier New" w:hint="default"/>
      </w:rPr>
    </w:lvl>
    <w:lvl w:ilvl="5" w:tplc="04070005" w:tentative="1">
      <w:start w:val="1"/>
      <w:numFmt w:val="bullet"/>
      <w:lvlText w:val=""/>
      <w:lvlJc w:val="left"/>
      <w:pPr>
        <w:ind w:left="4174" w:hanging="360"/>
      </w:pPr>
      <w:rPr>
        <w:rFonts w:ascii="Wingdings" w:hAnsi="Wingdings" w:hint="default"/>
      </w:rPr>
    </w:lvl>
    <w:lvl w:ilvl="6" w:tplc="04070001" w:tentative="1">
      <w:start w:val="1"/>
      <w:numFmt w:val="bullet"/>
      <w:lvlText w:val=""/>
      <w:lvlJc w:val="left"/>
      <w:pPr>
        <w:ind w:left="4894" w:hanging="360"/>
      </w:pPr>
      <w:rPr>
        <w:rFonts w:ascii="Symbol" w:hAnsi="Symbol" w:hint="default"/>
      </w:rPr>
    </w:lvl>
    <w:lvl w:ilvl="7" w:tplc="04070003" w:tentative="1">
      <w:start w:val="1"/>
      <w:numFmt w:val="bullet"/>
      <w:lvlText w:val="o"/>
      <w:lvlJc w:val="left"/>
      <w:pPr>
        <w:ind w:left="5614" w:hanging="360"/>
      </w:pPr>
      <w:rPr>
        <w:rFonts w:ascii="Courier New" w:hAnsi="Courier New" w:cs="Courier New" w:hint="default"/>
      </w:rPr>
    </w:lvl>
    <w:lvl w:ilvl="8" w:tplc="04070005" w:tentative="1">
      <w:start w:val="1"/>
      <w:numFmt w:val="bullet"/>
      <w:lvlText w:val=""/>
      <w:lvlJc w:val="left"/>
      <w:pPr>
        <w:ind w:left="6334" w:hanging="360"/>
      </w:pPr>
      <w:rPr>
        <w:rFonts w:ascii="Wingdings" w:hAnsi="Wingdings" w:hint="default"/>
      </w:rPr>
    </w:lvl>
  </w:abstractNum>
  <w:abstractNum w:abstractNumId="25"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AE3967"/>
    <w:multiLevelType w:val="hybridMultilevel"/>
    <w:tmpl w:val="3202E698"/>
    <w:lvl w:ilvl="0" w:tplc="04070001">
      <w:start w:val="1"/>
      <w:numFmt w:val="bullet"/>
      <w:lvlText w:val=""/>
      <w:lvlJc w:val="left"/>
      <w:pPr>
        <w:ind w:left="937" w:hanging="360"/>
      </w:pPr>
      <w:rPr>
        <w:rFonts w:ascii="Symbol" w:hAnsi="Symbol" w:hint="default"/>
      </w:rPr>
    </w:lvl>
    <w:lvl w:ilvl="1" w:tplc="EF7AC410">
      <w:numFmt w:val="bullet"/>
      <w:lvlText w:val="-"/>
      <w:lvlJc w:val="left"/>
      <w:pPr>
        <w:ind w:left="1657" w:hanging="360"/>
      </w:pPr>
      <w:rPr>
        <w:rFonts w:ascii="Arial" w:eastAsia="Times New Roman" w:hAnsi="Arial" w:cs="Arial"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28"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877C4A"/>
    <w:multiLevelType w:val="hybridMultilevel"/>
    <w:tmpl w:val="D9C05720"/>
    <w:lvl w:ilvl="0" w:tplc="04070001">
      <w:start w:val="1"/>
      <w:numFmt w:val="bullet"/>
      <w:lvlText w:val=""/>
      <w:lvlJc w:val="left"/>
      <w:pPr>
        <w:ind w:left="939" w:hanging="360"/>
      </w:pPr>
      <w:rPr>
        <w:rFonts w:ascii="Symbol" w:hAnsi="Symbol" w:hint="default"/>
      </w:rPr>
    </w:lvl>
    <w:lvl w:ilvl="1" w:tplc="04070003" w:tentative="1">
      <w:start w:val="1"/>
      <w:numFmt w:val="bullet"/>
      <w:lvlText w:val="o"/>
      <w:lvlJc w:val="left"/>
      <w:pPr>
        <w:ind w:left="1659" w:hanging="360"/>
      </w:pPr>
      <w:rPr>
        <w:rFonts w:ascii="Courier New" w:hAnsi="Courier New" w:cs="Courier New" w:hint="default"/>
      </w:rPr>
    </w:lvl>
    <w:lvl w:ilvl="2" w:tplc="04070005" w:tentative="1">
      <w:start w:val="1"/>
      <w:numFmt w:val="bullet"/>
      <w:lvlText w:val=""/>
      <w:lvlJc w:val="left"/>
      <w:pPr>
        <w:ind w:left="2379" w:hanging="360"/>
      </w:pPr>
      <w:rPr>
        <w:rFonts w:ascii="Wingdings" w:hAnsi="Wingdings" w:hint="default"/>
      </w:rPr>
    </w:lvl>
    <w:lvl w:ilvl="3" w:tplc="04070001" w:tentative="1">
      <w:start w:val="1"/>
      <w:numFmt w:val="bullet"/>
      <w:lvlText w:val=""/>
      <w:lvlJc w:val="left"/>
      <w:pPr>
        <w:ind w:left="3099" w:hanging="360"/>
      </w:pPr>
      <w:rPr>
        <w:rFonts w:ascii="Symbol" w:hAnsi="Symbol" w:hint="default"/>
      </w:rPr>
    </w:lvl>
    <w:lvl w:ilvl="4" w:tplc="04070003" w:tentative="1">
      <w:start w:val="1"/>
      <w:numFmt w:val="bullet"/>
      <w:lvlText w:val="o"/>
      <w:lvlJc w:val="left"/>
      <w:pPr>
        <w:ind w:left="3819" w:hanging="360"/>
      </w:pPr>
      <w:rPr>
        <w:rFonts w:ascii="Courier New" w:hAnsi="Courier New" w:cs="Courier New" w:hint="default"/>
      </w:rPr>
    </w:lvl>
    <w:lvl w:ilvl="5" w:tplc="04070005" w:tentative="1">
      <w:start w:val="1"/>
      <w:numFmt w:val="bullet"/>
      <w:lvlText w:val=""/>
      <w:lvlJc w:val="left"/>
      <w:pPr>
        <w:ind w:left="4539" w:hanging="360"/>
      </w:pPr>
      <w:rPr>
        <w:rFonts w:ascii="Wingdings" w:hAnsi="Wingdings" w:hint="default"/>
      </w:rPr>
    </w:lvl>
    <w:lvl w:ilvl="6" w:tplc="04070001" w:tentative="1">
      <w:start w:val="1"/>
      <w:numFmt w:val="bullet"/>
      <w:lvlText w:val=""/>
      <w:lvlJc w:val="left"/>
      <w:pPr>
        <w:ind w:left="5259" w:hanging="360"/>
      </w:pPr>
      <w:rPr>
        <w:rFonts w:ascii="Symbol" w:hAnsi="Symbol" w:hint="default"/>
      </w:rPr>
    </w:lvl>
    <w:lvl w:ilvl="7" w:tplc="04070003" w:tentative="1">
      <w:start w:val="1"/>
      <w:numFmt w:val="bullet"/>
      <w:lvlText w:val="o"/>
      <w:lvlJc w:val="left"/>
      <w:pPr>
        <w:ind w:left="5979" w:hanging="360"/>
      </w:pPr>
      <w:rPr>
        <w:rFonts w:ascii="Courier New" w:hAnsi="Courier New" w:cs="Courier New" w:hint="default"/>
      </w:rPr>
    </w:lvl>
    <w:lvl w:ilvl="8" w:tplc="04070005" w:tentative="1">
      <w:start w:val="1"/>
      <w:numFmt w:val="bullet"/>
      <w:lvlText w:val=""/>
      <w:lvlJc w:val="left"/>
      <w:pPr>
        <w:ind w:left="6699" w:hanging="360"/>
      </w:pPr>
      <w:rPr>
        <w:rFonts w:ascii="Wingdings" w:hAnsi="Wingdings" w:hint="default"/>
      </w:rPr>
    </w:lvl>
  </w:abstractNum>
  <w:abstractNum w:abstractNumId="30"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2" w15:restartNumberingAfterBreak="0">
    <w:nsid w:val="523803B6"/>
    <w:multiLevelType w:val="hybridMultilevel"/>
    <w:tmpl w:val="06CAE0FE"/>
    <w:lvl w:ilvl="0" w:tplc="04070001">
      <w:start w:val="1"/>
      <w:numFmt w:val="bullet"/>
      <w:lvlText w:val=""/>
      <w:lvlJc w:val="left"/>
      <w:pPr>
        <w:ind w:left="935" w:hanging="360"/>
      </w:pPr>
      <w:rPr>
        <w:rFonts w:ascii="Symbol" w:hAnsi="Symbol" w:hint="default"/>
      </w:rPr>
    </w:lvl>
    <w:lvl w:ilvl="1" w:tplc="04070003" w:tentative="1">
      <w:start w:val="1"/>
      <w:numFmt w:val="bullet"/>
      <w:lvlText w:val="o"/>
      <w:lvlJc w:val="left"/>
      <w:pPr>
        <w:ind w:left="1655" w:hanging="360"/>
      </w:pPr>
      <w:rPr>
        <w:rFonts w:ascii="Courier New" w:hAnsi="Courier New" w:cs="Courier New" w:hint="default"/>
      </w:rPr>
    </w:lvl>
    <w:lvl w:ilvl="2" w:tplc="04070005" w:tentative="1">
      <w:start w:val="1"/>
      <w:numFmt w:val="bullet"/>
      <w:lvlText w:val=""/>
      <w:lvlJc w:val="left"/>
      <w:pPr>
        <w:ind w:left="2375" w:hanging="360"/>
      </w:pPr>
      <w:rPr>
        <w:rFonts w:ascii="Wingdings" w:hAnsi="Wingdings" w:hint="default"/>
      </w:rPr>
    </w:lvl>
    <w:lvl w:ilvl="3" w:tplc="04070001" w:tentative="1">
      <w:start w:val="1"/>
      <w:numFmt w:val="bullet"/>
      <w:lvlText w:val=""/>
      <w:lvlJc w:val="left"/>
      <w:pPr>
        <w:ind w:left="3095" w:hanging="360"/>
      </w:pPr>
      <w:rPr>
        <w:rFonts w:ascii="Symbol" w:hAnsi="Symbol" w:hint="default"/>
      </w:rPr>
    </w:lvl>
    <w:lvl w:ilvl="4" w:tplc="04070003" w:tentative="1">
      <w:start w:val="1"/>
      <w:numFmt w:val="bullet"/>
      <w:lvlText w:val="o"/>
      <w:lvlJc w:val="left"/>
      <w:pPr>
        <w:ind w:left="3815" w:hanging="360"/>
      </w:pPr>
      <w:rPr>
        <w:rFonts w:ascii="Courier New" w:hAnsi="Courier New" w:cs="Courier New" w:hint="default"/>
      </w:rPr>
    </w:lvl>
    <w:lvl w:ilvl="5" w:tplc="04070005" w:tentative="1">
      <w:start w:val="1"/>
      <w:numFmt w:val="bullet"/>
      <w:lvlText w:val=""/>
      <w:lvlJc w:val="left"/>
      <w:pPr>
        <w:ind w:left="4535" w:hanging="360"/>
      </w:pPr>
      <w:rPr>
        <w:rFonts w:ascii="Wingdings" w:hAnsi="Wingdings" w:hint="default"/>
      </w:rPr>
    </w:lvl>
    <w:lvl w:ilvl="6" w:tplc="04070001" w:tentative="1">
      <w:start w:val="1"/>
      <w:numFmt w:val="bullet"/>
      <w:lvlText w:val=""/>
      <w:lvlJc w:val="left"/>
      <w:pPr>
        <w:ind w:left="5255" w:hanging="360"/>
      </w:pPr>
      <w:rPr>
        <w:rFonts w:ascii="Symbol" w:hAnsi="Symbol" w:hint="default"/>
      </w:rPr>
    </w:lvl>
    <w:lvl w:ilvl="7" w:tplc="04070003" w:tentative="1">
      <w:start w:val="1"/>
      <w:numFmt w:val="bullet"/>
      <w:lvlText w:val="o"/>
      <w:lvlJc w:val="left"/>
      <w:pPr>
        <w:ind w:left="5975" w:hanging="360"/>
      </w:pPr>
      <w:rPr>
        <w:rFonts w:ascii="Courier New" w:hAnsi="Courier New" w:cs="Courier New" w:hint="default"/>
      </w:rPr>
    </w:lvl>
    <w:lvl w:ilvl="8" w:tplc="04070005" w:tentative="1">
      <w:start w:val="1"/>
      <w:numFmt w:val="bullet"/>
      <w:lvlText w:val=""/>
      <w:lvlJc w:val="left"/>
      <w:pPr>
        <w:ind w:left="6695" w:hanging="360"/>
      </w:pPr>
      <w:rPr>
        <w:rFonts w:ascii="Wingdings" w:hAnsi="Wingdings" w:hint="default"/>
      </w:rPr>
    </w:lvl>
  </w:abstractNum>
  <w:abstractNum w:abstractNumId="33"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504D8D"/>
    <w:multiLevelType w:val="hybridMultilevel"/>
    <w:tmpl w:val="DB6A2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122AAF"/>
    <w:multiLevelType w:val="hybridMultilevel"/>
    <w:tmpl w:val="55A4FAC4"/>
    <w:lvl w:ilvl="0" w:tplc="04070001">
      <w:start w:val="1"/>
      <w:numFmt w:val="bullet"/>
      <w:lvlText w:val=""/>
      <w:lvlJc w:val="left"/>
      <w:pPr>
        <w:ind w:left="1220" w:hanging="360"/>
      </w:pPr>
      <w:rPr>
        <w:rFonts w:ascii="Symbol" w:hAnsi="Symbol" w:hint="default"/>
      </w:rPr>
    </w:lvl>
    <w:lvl w:ilvl="1" w:tplc="04070003" w:tentative="1">
      <w:start w:val="1"/>
      <w:numFmt w:val="bullet"/>
      <w:lvlText w:val="o"/>
      <w:lvlJc w:val="left"/>
      <w:pPr>
        <w:ind w:left="1940" w:hanging="360"/>
      </w:pPr>
      <w:rPr>
        <w:rFonts w:ascii="Courier New" w:hAnsi="Courier New" w:cs="Courier New" w:hint="default"/>
      </w:rPr>
    </w:lvl>
    <w:lvl w:ilvl="2" w:tplc="04070005" w:tentative="1">
      <w:start w:val="1"/>
      <w:numFmt w:val="bullet"/>
      <w:lvlText w:val=""/>
      <w:lvlJc w:val="left"/>
      <w:pPr>
        <w:ind w:left="2660" w:hanging="360"/>
      </w:pPr>
      <w:rPr>
        <w:rFonts w:ascii="Wingdings" w:hAnsi="Wingdings" w:hint="default"/>
      </w:rPr>
    </w:lvl>
    <w:lvl w:ilvl="3" w:tplc="04070001" w:tentative="1">
      <w:start w:val="1"/>
      <w:numFmt w:val="bullet"/>
      <w:lvlText w:val=""/>
      <w:lvlJc w:val="left"/>
      <w:pPr>
        <w:ind w:left="3380" w:hanging="360"/>
      </w:pPr>
      <w:rPr>
        <w:rFonts w:ascii="Symbol" w:hAnsi="Symbol" w:hint="default"/>
      </w:rPr>
    </w:lvl>
    <w:lvl w:ilvl="4" w:tplc="04070003" w:tentative="1">
      <w:start w:val="1"/>
      <w:numFmt w:val="bullet"/>
      <w:lvlText w:val="o"/>
      <w:lvlJc w:val="left"/>
      <w:pPr>
        <w:ind w:left="4100" w:hanging="360"/>
      </w:pPr>
      <w:rPr>
        <w:rFonts w:ascii="Courier New" w:hAnsi="Courier New" w:cs="Courier New" w:hint="default"/>
      </w:rPr>
    </w:lvl>
    <w:lvl w:ilvl="5" w:tplc="04070005" w:tentative="1">
      <w:start w:val="1"/>
      <w:numFmt w:val="bullet"/>
      <w:lvlText w:val=""/>
      <w:lvlJc w:val="left"/>
      <w:pPr>
        <w:ind w:left="4820" w:hanging="360"/>
      </w:pPr>
      <w:rPr>
        <w:rFonts w:ascii="Wingdings" w:hAnsi="Wingdings" w:hint="default"/>
      </w:rPr>
    </w:lvl>
    <w:lvl w:ilvl="6" w:tplc="04070001" w:tentative="1">
      <w:start w:val="1"/>
      <w:numFmt w:val="bullet"/>
      <w:lvlText w:val=""/>
      <w:lvlJc w:val="left"/>
      <w:pPr>
        <w:ind w:left="5540" w:hanging="360"/>
      </w:pPr>
      <w:rPr>
        <w:rFonts w:ascii="Symbol" w:hAnsi="Symbol" w:hint="default"/>
      </w:rPr>
    </w:lvl>
    <w:lvl w:ilvl="7" w:tplc="04070003" w:tentative="1">
      <w:start w:val="1"/>
      <w:numFmt w:val="bullet"/>
      <w:lvlText w:val="o"/>
      <w:lvlJc w:val="left"/>
      <w:pPr>
        <w:ind w:left="6260" w:hanging="360"/>
      </w:pPr>
      <w:rPr>
        <w:rFonts w:ascii="Courier New" w:hAnsi="Courier New" w:cs="Courier New" w:hint="default"/>
      </w:rPr>
    </w:lvl>
    <w:lvl w:ilvl="8" w:tplc="04070005" w:tentative="1">
      <w:start w:val="1"/>
      <w:numFmt w:val="bullet"/>
      <w:lvlText w:val=""/>
      <w:lvlJc w:val="left"/>
      <w:pPr>
        <w:ind w:left="6980" w:hanging="360"/>
      </w:pPr>
      <w:rPr>
        <w:rFonts w:ascii="Wingdings" w:hAnsi="Wingdings" w:hint="default"/>
      </w:rPr>
    </w:lvl>
  </w:abstractNum>
  <w:abstractNum w:abstractNumId="38"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2"/>
  </w:num>
  <w:num w:numId="4">
    <w:abstractNumId w:val="38"/>
  </w:num>
  <w:num w:numId="5">
    <w:abstractNumId w:val="33"/>
  </w:num>
  <w:num w:numId="6">
    <w:abstractNumId w:val="21"/>
  </w:num>
  <w:num w:numId="7">
    <w:abstractNumId w:val="14"/>
  </w:num>
  <w:num w:numId="8">
    <w:abstractNumId w:val="2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6"/>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5"/>
  </w:num>
  <w:num w:numId="25">
    <w:abstractNumId w:val="31"/>
  </w:num>
  <w:num w:numId="26">
    <w:abstractNumId w:val="10"/>
  </w:num>
  <w:num w:numId="27">
    <w:abstractNumId w:val="34"/>
  </w:num>
  <w:num w:numId="28">
    <w:abstractNumId w:val="13"/>
  </w:num>
  <w:num w:numId="29">
    <w:abstractNumId w:val="19"/>
  </w:num>
  <w:num w:numId="30">
    <w:abstractNumId w:val="36"/>
  </w:num>
  <w:num w:numId="31">
    <w:abstractNumId w:val="24"/>
  </w:num>
  <w:num w:numId="32">
    <w:abstractNumId w:val="12"/>
  </w:num>
  <w:num w:numId="33">
    <w:abstractNumId w:val="27"/>
  </w:num>
  <w:num w:numId="34">
    <w:abstractNumId w:val="32"/>
  </w:num>
  <w:num w:numId="35">
    <w:abstractNumId w:val="17"/>
  </w:num>
  <w:num w:numId="36">
    <w:abstractNumId w:val="37"/>
  </w:num>
  <w:num w:numId="37">
    <w:abstractNumId w:val="29"/>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3B37"/>
    <w:rsid w:val="000F7AB7"/>
    <w:rsid w:val="00134F75"/>
    <w:rsid w:val="00161035"/>
    <w:rsid w:val="002061CF"/>
    <w:rsid w:val="0021497F"/>
    <w:rsid w:val="0029530E"/>
    <w:rsid w:val="002C013C"/>
    <w:rsid w:val="003C2E04"/>
    <w:rsid w:val="003C5550"/>
    <w:rsid w:val="00494F8D"/>
    <w:rsid w:val="004F24BB"/>
    <w:rsid w:val="00521380"/>
    <w:rsid w:val="00632F93"/>
    <w:rsid w:val="00657F7F"/>
    <w:rsid w:val="006679F4"/>
    <w:rsid w:val="00714180"/>
    <w:rsid w:val="00814A12"/>
    <w:rsid w:val="0085650F"/>
    <w:rsid w:val="00875847"/>
    <w:rsid w:val="00896318"/>
    <w:rsid w:val="00932A9A"/>
    <w:rsid w:val="009717A8"/>
    <w:rsid w:val="009C1DD6"/>
    <w:rsid w:val="009D46AE"/>
    <w:rsid w:val="00A119DD"/>
    <w:rsid w:val="00A177F1"/>
    <w:rsid w:val="00AB0BCC"/>
    <w:rsid w:val="00B40021"/>
    <w:rsid w:val="00BB0151"/>
    <w:rsid w:val="00C40999"/>
    <w:rsid w:val="00C531FB"/>
    <w:rsid w:val="00C83821"/>
    <w:rsid w:val="00D97576"/>
    <w:rsid w:val="00DC5601"/>
    <w:rsid w:val="00E14BD8"/>
    <w:rsid w:val="00E9106E"/>
    <w:rsid w:val="00F54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B4466"/>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97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0.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 </vt:lpstr>
    </vt:vector>
  </TitlesOfParts>
  <Company>Steinbruchs-BG</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14</cp:revision>
  <cp:lastPrinted>2017-03-01T13:17:00Z</cp:lastPrinted>
  <dcterms:created xsi:type="dcterms:W3CDTF">2017-03-01T13:18:00Z</dcterms:created>
  <dcterms:modified xsi:type="dcterms:W3CDTF">2017-05-02T11:57:00Z</dcterms:modified>
</cp:coreProperties>
</file>