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6B3B48">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1A223E59" wp14:editId="2EBE9893">
                <wp:simplePos x="0" y="0"/>
                <wp:positionH relativeFrom="column">
                  <wp:posOffset>-75373</wp:posOffset>
                </wp:positionH>
                <wp:positionV relativeFrom="paragraph">
                  <wp:posOffset>-23615</wp:posOffset>
                </wp:positionV>
                <wp:extent cx="6962775" cy="9100868"/>
                <wp:effectExtent l="38100" t="38100" r="66675" b="6223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100868"/>
                        </a:xfrm>
                        <a:prstGeom prst="rect">
                          <a:avLst/>
                        </a:prstGeom>
                        <a:noFill/>
                        <a:ln w="889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7FA0" id="Rectangle 3" o:spid="_x0000_s1026" style="position:absolute;margin-left:-5.95pt;margin-top:-1.85pt;width:548.25pt;height:71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" o:allowincell="f" filled="f" strokecolor="blue" strokeweight="7pt"/>
            </w:pict>
          </mc:Fallback>
        </mc:AlternateContent>
      </w:r>
      <w:r w:rsidR="00601517" w:rsidRPr="000F7AB7">
        <w:rPr>
          <w:b/>
          <w:noProof/>
          <w:sz w:val="20"/>
        </w:rPr>
        <mc:AlternateContent>
          <mc:Choice Requires="wps">
            <w:drawing>
              <wp:anchor distT="0" distB="0" distL="114300" distR="114300" simplePos="0" relativeHeight="251656704" behindDoc="0" locked="0" layoutInCell="0" allowOverlap="1" wp14:anchorId="6DE65088" wp14:editId="37AC6C5D">
                <wp:simplePos x="0" y="0"/>
                <wp:positionH relativeFrom="column">
                  <wp:posOffset>2345055</wp:posOffset>
                </wp:positionH>
                <wp:positionV relativeFrom="paragraph">
                  <wp:posOffset>11430</wp:posOffset>
                </wp:positionV>
                <wp:extent cx="2257425" cy="1047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Pr="00601517" w:rsidRDefault="000F7AB7">
                            <w:pPr>
                              <w:pStyle w:val="Heading1"/>
                              <w:jc w:val="center"/>
                              <w:rPr>
                                <w:sz w:val="28"/>
                              </w:rPr>
                            </w:pPr>
                          </w:p>
                          <w:p w:rsidR="00521380" w:rsidRPr="00601517" w:rsidRDefault="00521380">
                            <w:pPr>
                              <w:pStyle w:val="Heading1"/>
                              <w:jc w:val="center"/>
                              <w:rPr>
                                <w:sz w:val="28"/>
                              </w:rPr>
                            </w:pPr>
                            <w:r w:rsidRPr="00601517">
                              <w:rPr>
                                <w:sz w:val="28"/>
                              </w:rPr>
                              <w:t>Betriebsanweisung</w:t>
                            </w:r>
                          </w:p>
                          <w:p w:rsidR="00092FC1" w:rsidRPr="00601517" w:rsidRDefault="00092FC1" w:rsidP="00092FC1">
                            <w:pPr>
                              <w:rPr>
                                <w:sz w:val="16"/>
                                <w:szCs w:val="16"/>
                              </w:rPr>
                            </w:pPr>
                          </w:p>
                          <w:p w:rsidR="00541913" w:rsidRDefault="00541913" w:rsidP="00541913">
                            <w:pPr>
                              <w:jc w:val="center"/>
                              <w:rPr>
                                <w:b/>
                                <w:sz w:val="28"/>
                                <w:szCs w:val="28"/>
                              </w:rPr>
                            </w:pPr>
                            <w:r>
                              <w:rPr>
                                <w:b/>
                                <w:sz w:val="28"/>
                                <w:szCs w:val="28"/>
                              </w:rPr>
                              <w:t xml:space="preserve">für Schlenk-Linie </w:t>
                            </w:r>
                          </w:p>
                          <w:p w:rsidR="000F7AB7" w:rsidRPr="00601517" w:rsidRDefault="00541913" w:rsidP="00541913">
                            <w:pPr>
                              <w:jc w:val="center"/>
                              <w:rPr>
                                <w:b/>
                                <w:sz w:val="28"/>
                                <w:szCs w:val="28"/>
                              </w:rPr>
                            </w:pPr>
                            <w:r>
                              <w:rPr>
                                <w:b/>
                                <w:sz w:val="28"/>
                                <w:szCs w:val="28"/>
                              </w:rPr>
                              <w:t>(Stickstoff</w:t>
                            </w:r>
                            <w:r w:rsidR="00623035">
                              <w:rPr>
                                <w:b/>
                                <w:sz w:val="28"/>
                                <w:szCs w:val="28"/>
                              </w:rPr>
                              <w:t xml:space="preserve"> und Vakuum</w:t>
                            </w:r>
                            <w:r>
                              <w:rPr>
                                <w:b/>
                                <w:sz w:val="28"/>
                                <w:szCs w:val="28"/>
                              </w:rPr>
                              <w:t>)</w:t>
                            </w:r>
                          </w:p>
                          <w:p w:rsidR="00521380" w:rsidRPr="00601517" w:rsidRDefault="00521380">
                            <w:pPr>
                              <w:pStyle w:val="Heading1"/>
                              <w:jc w:val="center"/>
                              <w:rPr>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5088" id="_x0000_t202" coordsize="21600,21600" o:spt="202" path="m,l,21600r21600,l21600,xe">
                <v:stroke joinstyle="miter"/>
                <v:path gradientshapeok="t" o:connecttype="rect"/>
              </v:shapetype>
              <v:shape id="Text Box 2" o:spid="_x0000_s1026" type="#_x0000_t202" style="position:absolute;margin-left:184.65pt;margin-top:.9pt;width:177.7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IU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" o:allowincell="f" filled="f" stroked="f">
                <v:textbox>
                  <w:txbxContent>
                    <w:p w:rsidR="000F7AB7" w:rsidRPr="00601517" w:rsidRDefault="000F7AB7">
                      <w:pPr>
                        <w:pStyle w:val="berschrift1"/>
                        <w:jc w:val="center"/>
                        <w:rPr>
                          <w:sz w:val="28"/>
                        </w:rPr>
                      </w:pPr>
                    </w:p>
                    <w:p w:rsidR="00521380" w:rsidRPr="00601517" w:rsidRDefault="00521380">
                      <w:pPr>
                        <w:pStyle w:val="berschrift1"/>
                        <w:jc w:val="center"/>
                        <w:rPr>
                          <w:sz w:val="28"/>
                        </w:rPr>
                      </w:pPr>
                      <w:r w:rsidRPr="00601517">
                        <w:rPr>
                          <w:sz w:val="28"/>
                        </w:rPr>
                        <w:t>Betriebsanweisung</w:t>
                      </w:r>
                    </w:p>
                    <w:p w:rsidR="00092FC1" w:rsidRPr="00601517" w:rsidRDefault="00092FC1" w:rsidP="00092FC1">
                      <w:pPr>
                        <w:rPr>
                          <w:sz w:val="16"/>
                          <w:szCs w:val="16"/>
                        </w:rPr>
                      </w:pPr>
                    </w:p>
                    <w:p w:rsidR="00541913" w:rsidRDefault="00541913" w:rsidP="00541913">
                      <w:pPr>
                        <w:jc w:val="center"/>
                        <w:rPr>
                          <w:b/>
                          <w:sz w:val="28"/>
                          <w:szCs w:val="28"/>
                        </w:rPr>
                      </w:pPr>
                      <w:r>
                        <w:rPr>
                          <w:b/>
                          <w:sz w:val="28"/>
                          <w:szCs w:val="28"/>
                        </w:rPr>
                        <w:t xml:space="preserve">für Schlenk-Linie </w:t>
                      </w:r>
                    </w:p>
                    <w:p w:rsidR="000F7AB7" w:rsidRPr="00601517" w:rsidRDefault="00541913" w:rsidP="00541913">
                      <w:pPr>
                        <w:jc w:val="center"/>
                        <w:rPr>
                          <w:b/>
                          <w:sz w:val="28"/>
                          <w:szCs w:val="28"/>
                        </w:rPr>
                      </w:pPr>
                      <w:r>
                        <w:rPr>
                          <w:b/>
                          <w:sz w:val="28"/>
                          <w:szCs w:val="28"/>
                        </w:rPr>
                        <w:t>(Stickstoff</w:t>
                      </w:r>
                      <w:r w:rsidR="00623035">
                        <w:rPr>
                          <w:b/>
                          <w:sz w:val="28"/>
                          <w:szCs w:val="28"/>
                        </w:rPr>
                        <w:t xml:space="preserve"> und Vakuum</w:t>
                      </w:r>
                      <w:r>
                        <w:rPr>
                          <w:b/>
                          <w:sz w:val="28"/>
                          <w:szCs w:val="28"/>
                        </w:rPr>
                        <w:t>)</w:t>
                      </w:r>
                    </w:p>
                    <w:p w:rsidR="00521380" w:rsidRPr="00601517" w:rsidRDefault="00521380">
                      <w:pPr>
                        <w:pStyle w:val="berschrift1"/>
                        <w:jc w:val="center"/>
                        <w:rPr>
                          <w:b w:val="0"/>
                          <w:sz w:val="24"/>
                        </w:rPr>
                      </w:pP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5973690" wp14:editId="55151930">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3690"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 xml:space="preserve">Arbeitsbereich: </w:t>
      </w:r>
      <w:r w:rsidR="00601517">
        <w:t>L</w:t>
      </w:r>
      <w:r w:rsidR="00092FC1">
        <w:t>abor</w:t>
      </w:r>
    </w:p>
    <w:p w:rsidR="00521380" w:rsidRDefault="00521380" w:rsidP="00A177F1">
      <w:pPr>
        <w:rPr>
          <w:sz w:val="18"/>
          <w:szCs w:val="18"/>
        </w:rPr>
      </w:pPr>
    </w:p>
    <w:p w:rsidR="00D97576" w:rsidRDefault="008E3FB2" w:rsidP="00A177F1">
      <w:pPr>
        <w:rPr>
          <w:sz w:val="18"/>
          <w:szCs w:val="18"/>
        </w:rPr>
      </w:pPr>
      <w:bookmarkStart w:id="0" w:name="_GoBack"/>
      <w:r>
        <w:rPr>
          <w:noProof/>
        </w:rPr>
        <w:drawing>
          <wp:anchor distT="0" distB="0" distL="114300" distR="114300" simplePos="0" relativeHeight="251659776" behindDoc="1" locked="0" layoutInCell="1" allowOverlap="1" wp14:anchorId="47D4D44B" wp14:editId="4AE1159D">
            <wp:simplePos x="0" y="0"/>
            <wp:positionH relativeFrom="column">
              <wp:posOffset>4164330</wp:posOffset>
            </wp:positionH>
            <wp:positionV relativeFrom="paragraph">
              <wp:posOffset>49530</wp:posOffset>
            </wp:positionV>
            <wp:extent cx="1485900" cy="276225"/>
            <wp:effectExtent l="0" t="0" r="0" b="9525"/>
            <wp:wrapTight wrapText="bothSides">
              <wp:wrapPolygon edited="0">
                <wp:start x="0" y="0"/>
                <wp:lineTo x="0" y="20855"/>
                <wp:lineTo x="21323" y="20855"/>
                <wp:lineTo x="2132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97576" w:rsidRDefault="00D97576" w:rsidP="00A177F1">
      <w:pPr>
        <w:rPr>
          <w:sz w:val="18"/>
          <w:szCs w:val="18"/>
        </w:rPr>
      </w:pPr>
    </w:p>
    <w:p w:rsidR="00D97576" w:rsidRPr="002061CF" w:rsidRDefault="008E3FB2" w:rsidP="00A177F1">
      <w:pPr>
        <w:rPr>
          <w:sz w:val="18"/>
          <w:szCs w:val="18"/>
        </w:rPr>
      </w:pPr>
      <w:r>
        <w:rPr>
          <w:sz w:val="18"/>
          <w:szCs w:val="18"/>
        </w:rPr>
        <w:t>02.05.2017</w:t>
      </w:r>
    </w:p>
    <w:tbl>
      <w:tblPr>
        <w:tblpPr w:leftFromText="141" w:rightFromText="141" w:vertAnchor="page" w:horzAnchor="margin" w:tblpY="247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601517" w:rsidTr="00601517">
        <w:tc>
          <w:tcPr>
            <w:tcW w:w="1186" w:type="dxa"/>
            <w:tcBorders>
              <w:right w:val="nil"/>
            </w:tcBorders>
            <w:shd w:val="clear" w:color="auto" w:fill="0000FF"/>
          </w:tcPr>
          <w:p w:rsidR="00601517" w:rsidRDefault="00601517" w:rsidP="000D3B37">
            <w:pPr>
              <w:overflowPunct/>
              <w:autoSpaceDE/>
              <w:autoSpaceDN/>
              <w:adjustRightInd/>
              <w:textAlignment w:val="auto"/>
            </w:pPr>
          </w:p>
        </w:tc>
        <w:tc>
          <w:tcPr>
            <w:tcW w:w="9562" w:type="dxa"/>
            <w:tcBorders>
              <w:left w:val="nil"/>
              <w:bottom w:val="single" w:sz="4" w:space="0" w:color="auto"/>
              <w:right w:val="single" w:sz="4" w:space="0" w:color="auto"/>
            </w:tcBorders>
            <w:shd w:val="clear" w:color="auto" w:fill="0000FF"/>
            <w:vAlign w:val="center"/>
          </w:tcPr>
          <w:p w:rsidR="00601517" w:rsidRDefault="00601517" w:rsidP="00601517">
            <w:pPr>
              <w:pStyle w:val="Heading2"/>
              <w:tabs>
                <w:tab w:val="center" w:pos="4711"/>
                <w:tab w:val="right" w:pos="9422"/>
              </w:tabs>
              <w:jc w:val="center"/>
              <w:rPr>
                <w:b/>
              </w:rPr>
            </w:pPr>
            <w:r>
              <w:rPr>
                <w:b/>
              </w:rPr>
              <w:t>Anwendungsbereich</w:t>
            </w:r>
          </w:p>
        </w:tc>
      </w:tr>
      <w:tr w:rsidR="00601517" w:rsidTr="00601517">
        <w:tc>
          <w:tcPr>
            <w:tcW w:w="1186" w:type="dxa"/>
            <w:tcBorders>
              <w:right w:val="single" w:sz="4" w:space="0" w:color="auto"/>
            </w:tcBorders>
            <w:shd w:val="clear" w:color="auto" w:fill="auto"/>
          </w:tcPr>
          <w:p w:rsidR="00601517" w:rsidRPr="00601517" w:rsidRDefault="00601517" w:rsidP="000D3B37">
            <w:pPr>
              <w:overflowPunct/>
              <w:autoSpaceDE/>
              <w:autoSpaceDN/>
              <w:adjustRightInd/>
              <w:textAlignment w:val="auto"/>
            </w:pPr>
          </w:p>
        </w:tc>
        <w:tc>
          <w:tcPr>
            <w:tcW w:w="9562" w:type="dxa"/>
            <w:tcBorders>
              <w:left w:val="single" w:sz="4" w:space="0" w:color="auto"/>
              <w:right w:val="single" w:sz="4" w:space="0" w:color="auto"/>
            </w:tcBorders>
            <w:shd w:val="clear" w:color="auto" w:fill="auto"/>
            <w:vAlign w:val="center"/>
          </w:tcPr>
          <w:p w:rsidR="00601517" w:rsidRPr="00F845D7" w:rsidRDefault="00541913" w:rsidP="00F845D7">
            <w:pPr>
              <w:rPr>
                <w:sz w:val="20"/>
              </w:rPr>
            </w:pPr>
            <w:r w:rsidRPr="00F845D7">
              <w:rPr>
                <w:sz w:val="20"/>
              </w:rPr>
              <w:t>Betriebsanweisung für das Arbeiten mit Inertgasapparaturen, Stickstoff-</w:t>
            </w:r>
            <w:r w:rsidR="00623035">
              <w:rPr>
                <w:sz w:val="20"/>
              </w:rPr>
              <w:t xml:space="preserve"> und Vakuum-</w:t>
            </w:r>
            <w:r w:rsidRPr="00F845D7">
              <w:rPr>
                <w:sz w:val="20"/>
              </w:rPr>
              <w:t>Linie</w:t>
            </w:r>
            <w:r w:rsidR="00F845D7" w:rsidRPr="00F845D7">
              <w:rPr>
                <w:sz w:val="20"/>
              </w:rPr>
              <w:t>.</w:t>
            </w:r>
          </w:p>
        </w:tc>
      </w:tr>
      <w:tr w:rsidR="002C013C" w:rsidTr="000D3B37">
        <w:tc>
          <w:tcPr>
            <w:tcW w:w="1186" w:type="dxa"/>
            <w:tcBorders>
              <w:right w:val="nil"/>
            </w:tcBorders>
            <w:shd w:val="clear" w:color="auto" w:fill="0000FF"/>
          </w:tcPr>
          <w:p w:rsidR="002C013C" w:rsidRDefault="002C013C" w:rsidP="000D3B37">
            <w:pPr>
              <w:overflowPunct/>
              <w:autoSpaceDE/>
              <w:autoSpaceDN/>
              <w:adjustRightInd/>
              <w:textAlignment w:val="auto"/>
            </w:pPr>
          </w:p>
        </w:tc>
        <w:tc>
          <w:tcPr>
            <w:tcW w:w="9562" w:type="dxa"/>
            <w:tcBorders>
              <w:left w:val="nil"/>
              <w:right w:val="single" w:sz="4" w:space="0" w:color="auto"/>
            </w:tcBorders>
            <w:shd w:val="clear" w:color="auto" w:fill="0000FF"/>
          </w:tcPr>
          <w:p w:rsidR="002C013C" w:rsidRPr="0085650F" w:rsidRDefault="002C013C" w:rsidP="000D3B37">
            <w:pPr>
              <w:pStyle w:val="Heading2"/>
              <w:tabs>
                <w:tab w:val="center" w:pos="4711"/>
                <w:tab w:val="right" w:pos="9422"/>
              </w:tabs>
              <w:rPr>
                <w:b/>
                <w:caps/>
              </w:rPr>
            </w:pPr>
            <w:r>
              <w:rPr>
                <w:b/>
              </w:rPr>
              <w:tab/>
              <w:t>Gefahren für Mensch und Umwelt</w:t>
            </w:r>
            <w:r>
              <w:rPr>
                <w:b/>
              </w:rPr>
              <w:tab/>
            </w:r>
          </w:p>
        </w:tc>
      </w:tr>
      <w:tr w:rsidR="002C013C" w:rsidTr="00601517">
        <w:tc>
          <w:tcPr>
            <w:tcW w:w="1186" w:type="dxa"/>
            <w:tcBorders>
              <w:bottom w:val="single" w:sz="4" w:space="0" w:color="auto"/>
            </w:tcBorders>
            <w:vAlign w:val="center"/>
          </w:tcPr>
          <w:p w:rsidR="00601517" w:rsidRDefault="00CD4049" w:rsidP="00601517">
            <w:pPr>
              <w:spacing w:before="60" w:after="60"/>
              <w:jc w:val="center"/>
            </w:pPr>
            <w:r>
              <w:rPr>
                <w:noProof/>
              </w:rPr>
              <w:drawing>
                <wp:inline distT="0" distB="0" distL="0" distR="0" wp14:anchorId="13E46E71" wp14:editId="3D6D8FE9">
                  <wp:extent cx="468000" cy="468000"/>
                  <wp:effectExtent l="0" t="0" r="8255" b="8255"/>
                  <wp:docPr id="1" name="Grafik 1" descr="Warnschild Warnung vor explosionsgefährlichen Stoffen nach DIN EN ISO 7010 (W 002) ASR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 Warnung vor explosionsgefährlichen Stoffen nach DIN EN ISO 7010 (W 002) ASR A.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2C013C" w:rsidRDefault="00F845D7" w:rsidP="00601517">
            <w:pPr>
              <w:spacing w:before="60" w:after="60"/>
              <w:jc w:val="center"/>
            </w:pPr>
            <w:r>
              <w:rPr>
                <w:noProof/>
              </w:rPr>
              <w:drawing>
                <wp:inline distT="0" distB="0" distL="0" distR="0">
                  <wp:extent cx="468000" cy="468000"/>
                  <wp:effectExtent l="0" t="0" r="8255" b="8255"/>
                  <wp:docPr id="4" name="Grafik 4" descr="Warnschild Gefahrenstelle als Warnzeichen nach ISO 7010 (W 001) - Schild international 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 Gefahrenstelle als Warnzeichen nach ISO 7010 (W 001) - Schild international gülti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vAlign w:val="center"/>
          </w:tcPr>
          <w:p w:rsidR="00623035" w:rsidRPr="00623035" w:rsidRDefault="00623035" w:rsidP="00623035">
            <w:pPr>
              <w:rPr>
                <w:b/>
                <w:sz w:val="20"/>
              </w:rPr>
            </w:pPr>
            <w:r w:rsidRPr="00623035">
              <w:rPr>
                <w:b/>
                <w:sz w:val="20"/>
              </w:rPr>
              <w:t>Stickstoff-Linie:</w:t>
            </w:r>
          </w:p>
          <w:p w:rsidR="00541913" w:rsidRPr="00D131CC" w:rsidRDefault="00541913" w:rsidP="00D131CC">
            <w:pPr>
              <w:pStyle w:val="ListParagraph"/>
              <w:numPr>
                <w:ilvl w:val="0"/>
                <w:numId w:val="50"/>
              </w:numPr>
              <w:rPr>
                <w:sz w:val="20"/>
              </w:rPr>
            </w:pPr>
            <w:r w:rsidRPr="00D131CC">
              <w:rPr>
                <w:sz w:val="20"/>
              </w:rPr>
              <w:t xml:space="preserve">Der Stickstoffrechen steht unter Druck (entsprechend dem eingestellten Vordruck). Die Systeme arbeiten geschlossen, d. h. der Arbeitsdruck (ca. 0,3 bar) wird fest eingestellt und über ein Überdruckventil (0,6 bar) gesichert. Ein </w:t>
            </w:r>
            <w:r w:rsidR="00F845D7" w:rsidRPr="00D131CC">
              <w:rPr>
                <w:sz w:val="20"/>
              </w:rPr>
              <w:t>Ü</w:t>
            </w:r>
            <w:r w:rsidRPr="00D131CC">
              <w:rPr>
                <w:sz w:val="20"/>
              </w:rPr>
              <w:t>berdruckblubberer wird i. d. R. nicht verwendet.</w:t>
            </w:r>
          </w:p>
          <w:p w:rsidR="00541913" w:rsidRPr="00D131CC" w:rsidRDefault="00541913" w:rsidP="00D131CC">
            <w:pPr>
              <w:pStyle w:val="ListParagraph"/>
              <w:numPr>
                <w:ilvl w:val="0"/>
                <w:numId w:val="50"/>
              </w:numPr>
              <w:rPr>
                <w:sz w:val="20"/>
              </w:rPr>
            </w:pPr>
            <w:r w:rsidRPr="00D131CC">
              <w:rPr>
                <w:sz w:val="20"/>
              </w:rPr>
              <w:t>Ungesicherte Glasstopfen und Hähne können durch den Raum schießen.</w:t>
            </w:r>
          </w:p>
          <w:p w:rsidR="00541913" w:rsidRPr="00D131CC" w:rsidRDefault="00541913" w:rsidP="00D131CC">
            <w:pPr>
              <w:pStyle w:val="ListParagraph"/>
              <w:numPr>
                <w:ilvl w:val="0"/>
                <w:numId w:val="50"/>
              </w:numPr>
              <w:rPr>
                <w:sz w:val="20"/>
              </w:rPr>
            </w:pPr>
            <w:r w:rsidRPr="00D131CC">
              <w:rPr>
                <w:sz w:val="20"/>
              </w:rPr>
              <w:t>Beim Belüften von Kolben, in denen ein Feststoff enthalten ist, kann Staub ausgeblasen werden.</w:t>
            </w:r>
          </w:p>
          <w:p w:rsidR="002C013C" w:rsidRPr="00D131CC" w:rsidRDefault="00541913" w:rsidP="00D131CC">
            <w:pPr>
              <w:pStyle w:val="ListParagraph"/>
              <w:numPr>
                <w:ilvl w:val="0"/>
                <w:numId w:val="50"/>
              </w:numPr>
              <w:rPr>
                <w:sz w:val="20"/>
                <w:szCs w:val="21"/>
              </w:rPr>
            </w:pPr>
            <w:r w:rsidRPr="00D131CC">
              <w:rPr>
                <w:sz w:val="20"/>
              </w:rPr>
              <w:t>Beim Belüften von großen Reaktionsgefäßen kann es zu einem Druckabfall im gesamten System kommen.</w:t>
            </w:r>
          </w:p>
          <w:p w:rsidR="00623035" w:rsidRPr="00623035" w:rsidRDefault="00623035" w:rsidP="00623035">
            <w:pPr>
              <w:rPr>
                <w:b/>
                <w:sz w:val="20"/>
                <w:szCs w:val="21"/>
              </w:rPr>
            </w:pPr>
            <w:r w:rsidRPr="00623035">
              <w:rPr>
                <w:b/>
                <w:sz w:val="20"/>
                <w:szCs w:val="21"/>
              </w:rPr>
              <w:t>Vakuum-Linie:</w:t>
            </w:r>
          </w:p>
          <w:p w:rsidR="00623035" w:rsidRPr="00D131CC" w:rsidRDefault="00623035" w:rsidP="00D131CC">
            <w:pPr>
              <w:pStyle w:val="ListParagraph"/>
              <w:numPr>
                <w:ilvl w:val="0"/>
                <w:numId w:val="50"/>
              </w:numPr>
              <w:rPr>
                <w:sz w:val="20"/>
              </w:rPr>
            </w:pPr>
            <w:r w:rsidRPr="00D131CC">
              <w:rPr>
                <w:sz w:val="20"/>
              </w:rPr>
              <w:t>Sollte O</w:t>
            </w:r>
            <w:r w:rsidRPr="00D131CC">
              <w:rPr>
                <w:sz w:val="20"/>
                <w:vertAlign w:val="subscript"/>
              </w:rPr>
              <w:t>2</w:t>
            </w:r>
            <w:r w:rsidRPr="00D131CC">
              <w:rPr>
                <w:sz w:val="20"/>
              </w:rPr>
              <w:t xml:space="preserve"> (erkennbar an der blauen Farbe) in die Kühlfallen einkondensieren besteht akute Explosionsgefahr.</w:t>
            </w:r>
          </w:p>
          <w:p w:rsidR="00623035" w:rsidRPr="00D131CC" w:rsidRDefault="00623035" w:rsidP="00D131CC">
            <w:pPr>
              <w:pStyle w:val="ListParagraph"/>
              <w:numPr>
                <w:ilvl w:val="0"/>
                <w:numId w:val="50"/>
              </w:numPr>
              <w:rPr>
                <w:szCs w:val="21"/>
              </w:rPr>
            </w:pPr>
            <w:r w:rsidRPr="00D131CC">
              <w:rPr>
                <w:sz w:val="20"/>
              </w:rPr>
              <w:t>Versehentlich falsch geöffnete Hähne können zu einem Aufsieden von Lösemittel führen und die Anlage verschmutzen</w:t>
            </w:r>
          </w:p>
        </w:tc>
      </w:tr>
      <w:tr w:rsidR="002C013C" w:rsidTr="000D3B37">
        <w:tc>
          <w:tcPr>
            <w:tcW w:w="1186" w:type="dxa"/>
            <w:tcBorders>
              <w:right w:val="nil"/>
            </w:tcBorders>
            <w:shd w:val="clear" w:color="auto" w:fill="0000FF"/>
          </w:tcPr>
          <w:p w:rsidR="002C013C" w:rsidRDefault="002C013C" w:rsidP="000D3B37">
            <w:pPr>
              <w:spacing w:line="360" w:lineRule="atLeast"/>
            </w:pPr>
          </w:p>
        </w:tc>
        <w:tc>
          <w:tcPr>
            <w:tcW w:w="9562" w:type="dxa"/>
            <w:tcBorders>
              <w:left w:val="nil"/>
              <w:right w:val="single" w:sz="4" w:space="0" w:color="auto"/>
            </w:tcBorders>
            <w:shd w:val="clear" w:color="auto" w:fill="0000FF"/>
          </w:tcPr>
          <w:p w:rsidR="002C013C" w:rsidRPr="0085650F" w:rsidRDefault="002C013C" w:rsidP="000D3B37">
            <w:pPr>
              <w:pStyle w:val="Heading3"/>
              <w:rPr>
                <w:caps/>
              </w:rPr>
            </w:pPr>
            <w:r>
              <w:t>Schutzmaßnahmen und Verhaltensregeln</w:t>
            </w:r>
          </w:p>
        </w:tc>
      </w:tr>
      <w:tr w:rsidR="002C013C" w:rsidTr="00601517">
        <w:tc>
          <w:tcPr>
            <w:tcW w:w="1186" w:type="dxa"/>
            <w:tcBorders>
              <w:bottom w:val="single" w:sz="4" w:space="0" w:color="auto"/>
            </w:tcBorders>
            <w:vAlign w:val="center"/>
          </w:tcPr>
          <w:p w:rsidR="002C013C" w:rsidRDefault="00F845D7" w:rsidP="00541913">
            <w:pPr>
              <w:spacing w:before="60" w:after="60"/>
              <w:jc w:val="center"/>
            </w:pPr>
            <w:r>
              <w:rPr>
                <w:noProof/>
              </w:rPr>
              <w:drawing>
                <wp:inline distT="0" distB="0" distL="0" distR="0">
                  <wp:extent cx="468000" cy="468000"/>
                  <wp:effectExtent l="0" t="0" r="8255" b="8255"/>
                  <wp:docPr id="5" name="Grafik 5"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1/ISO_7010_M004.svg/120px-ISO_7010_M004.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541913" w:rsidRPr="00D131CC" w:rsidRDefault="00541913" w:rsidP="00D131CC">
            <w:pPr>
              <w:pStyle w:val="ListParagraph"/>
              <w:numPr>
                <w:ilvl w:val="0"/>
                <w:numId w:val="50"/>
              </w:numPr>
              <w:rPr>
                <w:sz w:val="20"/>
              </w:rPr>
            </w:pPr>
            <w:r w:rsidRPr="00D131CC">
              <w:rPr>
                <w:sz w:val="20"/>
              </w:rPr>
              <w:t>In regelmäßigen Abständen muss die Dichtigkeit der Anlage überprüft werden.</w:t>
            </w:r>
          </w:p>
          <w:p w:rsidR="00541913" w:rsidRPr="00D131CC" w:rsidRDefault="00541913" w:rsidP="00D131CC">
            <w:pPr>
              <w:pStyle w:val="ListParagraph"/>
              <w:numPr>
                <w:ilvl w:val="0"/>
                <w:numId w:val="50"/>
              </w:numPr>
              <w:rPr>
                <w:sz w:val="20"/>
              </w:rPr>
            </w:pPr>
            <w:r w:rsidRPr="00D131CC">
              <w:rPr>
                <w:sz w:val="20"/>
              </w:rPr>
              <w:t>Am Stickstoff-Manometer kann man überprüfen, ob im System ein Unterdruck herrscht. Sofern vorhand</w:t>
            </w:r>
            <w:r w:rsidR="006B3B48" w:rsidRPr="00D131CC">
              <w:rPr>
                <w:sz w:val="20"/>
              </w:rPr>
              <w:t>en kann über ein Flussmessgerät</w:t>
            </w:r>
            <w:r w:rsidRPr="00D131CC">
              <w:rPr>
                <w:sz w:val="20"/>
              </w:rPr>
              <w:t xml:space="preserve"> die Dichtigkeit des Systems überprüft werden.</w:t>
            </w:r>
          </w:p>
          <w:p w:rsidR="00541913" w:rsidRPr="00D131CC" w:rsidRDefault="00541913" w:rsidP="00D131CC">
            <w:pPr>
              <w:pStyle w:val="ListParagraph"/>
              <w:numPr>
                <w:ilvl w:val="0"/>
                <w:numId w:val="50"/>
              </w:numPr>
              <w:rPr>
                <w:sz w:val="20"/>
              </w:rPr>
            </w:pPr>
            <w:r w:rsidRPr="00D131CC">
              <w:rPr>
                <w:sz w:val="20"/>
              </w:rPr>
              <w:t xml:space="preserve">Die Anlage ist belüftet, wenn das Anzeigemanometer den eingestellten Vordruck anzeigt und der Flussmesser keinen Durchfluss mehr anzeigt. </w:t>
            </w:r>
          </w:p>
        </w:tc>
      </w:tr>
      <w:tr w:rsidR="000D3B37" w:rsidTr="000D3B37">
        <w:trPr>
          <w:trHeight w:val="300"/>
        </w:trPr>
        <w:tc>
          <w:tcPr>
            <w:tcW w:w="10748" w:type="dxa"/>
            <w:gridSpan w:val="2"/>
            <w:tcBorders>
              <w:bottom w:val="single" w:sz="4" w:space="0" w:color="auto"/>
            </w:tcBorders>
            <w:shd w:val="clear" w:color="auto" w:fill="0000FF"/>
            <w:vAlign w:val="center"/>
          </w:tcPr>
          <w:p w:rsidR="000D3B37" w:rsidRPr="000D3B37" w:rsidRDefault="000D3B37" w:rsidP="000D3B37">
            <w:pPr>
              <w:jc w:val="center"/>
              <w:rPr>
                <w:rFonts w:cs="Arial"/>
                <w:b/>
                <w:sz w:val="28"/>
                <w:szCs w:val="28"/>
              </w:rPr>
            </w:pPr>
            <w:r w:rsidRPr="000D3B37">
              <w:rPr>
                <w:rFonts w:cs="Arial"/>
                <w:b/>
                <w:sz w:val="28"/>
                <w:szCs w:val="28"/>
              </w:rPr>
              <w:t>Verhalten bei Störungen</w:t>
            </w:r>
          </w:p>
        </w:tc>
      </w:tr>
      <w:tr w:rsidR="002C013C" w:rsidTr="000D3B37">
        <w:tc>
          <w:tcPr>
            <w:tcW w:w="1186" w:type="dxa"/>
            <w:tcBorders>
              <w:bottom w:val="single" w:sz="4" w:space="0" w:color="auto"/>
            </w:tcBorders>
          </w:tcPr>
          <w:p w:rsidR="002C013C" w:rsidRPr="00F543C2" w:rsidRDefault="002C013C" w:rsidP="000D3B37">
            <w:pPr>
              <w:spacing w:before="60" w:after="60"/>
              <w:jc w:val="center"/>
            </w:pPr>
          </w:p>
        </w:tc>
        <w:tc>
          <w:tcPr>
            <w:tcW w:w="9562" w:type="dxa"/>
            <w:tcBorders>
              <w:bottom w:val="single" w:sz="4" w:space="0" w:color="auto"/>
            </w:tcBorders>
          </w:tcPr>
          <w:p w:rsidR="00541913" w:rsidRPr="00D131CC" w:rsidRDefault="00541913" w:rsidP="00D131CC">
            <w:pPr>
              <w:pStyle w:val="ListParagraph"/>
              <w:numPr>
                <w:ilvl w:val="0"/>
                <w:numId w:val="50"/>
              </w:numPr>
              <w:rPr>
                <w:sz w:val="20"/>
              </w:rPr>
            </w:pPr>
            <w:r w:rsidRPr="00D131CC">
              <w:rPr>
                <w:sz w:val="20"/>
              </w:rPr>
              <w:t>Bei Undichtigkeiten muss die Anlage außer Betrieb genommen und die undichte Stelle beseitigt werden.</w:t>
            </w:r>
          </w:p>
          <w:p w:rsidR="002C013C" w:rsidRPr="00D131CC" w:rsidRDefault="00541913" w:rsidP="00D131CC">
            <w:pPr>
              <w:pStyle w:val="ListParagraph"/>
              <w:numPr>
                <w:ilvl w:val="0"/>
                <w:numId w:val="50"/>
              </w:numPr>
              <w:rPr>
                <w:sz w:val="20"/>
              </w:rPr>
            </w:pPr>
            <w:r w:rsidRPr="00D131CC">
              <w:rPr>
                <w:sz w:val="20"/>
              </w:rPr>
              <w:t>Bei defekten Druckminderventilen bzw. Überdruckventilen darf die Anlage nicht betrieben werden.</w:t>
            </w:r>
          </w:p>
        </w:tc>
      </w:tr>
      <w:tr w:rsidR="000D3B37" w:rsidTr="000D3B37">
        <w:trPr>
          <w:trHeight w:val="300"/>
        </w:trPr>
        <w:tc>
          <w:tcPr>
            <w:tcW w:w="10748" w:type="dxa"/>
            <w:gridSpan w:val="2"/>
            <w:tcBorders>
              <w:bottom w:val="single" w:sz="4" w:space="0" w:color="auto"/>
            </w:tcBorders>
            <w:shd w:val="clear" w:color="auto" w:fill="0000FF"/>
          </w:tcPr>
          <w:p w:rsidR="000D3B37" w:rsidRPr="000D3B37" w:rsidRDefault="000D3B37" w:rsidP="000D3B37">
            <w:pPr>
              <w:jc w:val="center"/>
              <w:rPr>
                <w:rFonts w:ascii="Univers (W1)" w:hAnsi="Univers (W1)"/>
                <w:b/>
                <w:sz w:val="28"/>
                <w:szCs w:val="28"/>
              </w:rPr>
            </w:pPr>
            <w:r w:rsidRPr="000D3B37">
              <w:rPr>
                <w:rFonts w:ascii="Univers (W1)" w:hAnsi="Univers (W1)"/>
                <w:b/>
                <w:sz w:val="28"/>
                <w:szCs w:val="28"/>
              </w:rPr>
              <w:t>Verhalten bei Unfällen, Erste Hilfe</w:t>
            </w:r>
          </w:p>
        </w:tc>
      </w:tr>
      <w:tr w:rsidR="002C013C" w:rsidTr="00E9106E">
        <w:tc>
          <w:tcPr>
            <w:tcW w:w="1186" w:type="dxa"/>
            <w:tcBorders>
              <w:bottom w:val="single" w:sz="4" w:space="0" w:color="auto"/>
            </w:tcBorders>
            <w:vAlign w:val="center"/>
          </w:tcPr>
          <w:p w:rsidR="002C013C" w:rsidRDefault="002C013C" w:rsidP="00E9106E">
            <w:pPr>
              <w:spacing w:before="60" w:after="60"/>
              <w:jc w:val="center"/>
            </w:pPr>
            <w:r w:rsidRPr="00D117D2">
              <w:rPr>
                <w:noProof/>
              </w:rPr>
              <w:drawing>
                <wp:inline distT="0" distB="0" distL="0" distR="0" wp14:anchorId="700C38B3" wp14:editId="1FE80D69">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623035" w:rsidRPr="00D131CC" w:rsidRDefault="00623035" w:rsidP="00D131CC">
            <w:pPr>
              <w:pStyle w:val="ListParagraph"/>
              <w:numPr>
                <w:ilvl w:val="0"/>
                <w:numId w:val="50"/>
              </w:numPr>
              <w:rPr>
                <w:b/>
                <w:sz w:val="20"/>
                <w:szCs w:val="22"/>
              </w:rPr>
            </w:pPr>
            <w:r w:rsidRPr="00D131CC">
              <w:rPr>
                <w:sz w:val="20"/>
              </w:rPr>
              <w:t>Erste-Hilfe leisten, dabei auf Eigenschutz achten.</w:t>
            </w:r>
          </w:p>
          <w:p w:rsidR="00623035" w:rsidRPr="00D131CC" w:rsidRDefault="00623035" w:rsidP="00D131CC">
            <w:pPr>
              <w:pStyle w:val="ListParagraph"/>
              <w:numPr>
                <w:ilvl w:val="0"/>
                <w:numId w:val="50"/>
              </w:numPr>
              <w:rPr>
                <w:b/>
                <w:sz w:val="20"/>
                <w:szCs w:val="22"/>
              </w:rPr>
            </w:pPr>
            <w:r w:rsidRPr="00D131CC">
              <w:rPr>
                <w:sz w:val="20"/>
              </w:rPr>
              <w:t>Verletzte Personen aus dem Gefahrenbereich bringen.</w:t>
            </w:r>
          </w:p>
          <w:p w:rsidR="00623035" w:rsidRPr="00D131CC" w:rsidRDefault="00623035" w:rsidP="00D131CC">
            <w:pPr>
              <w:pStyle w:val="ListParagraph"/>
              <w:numPr>
                <w:ilvl w:val="0"/>
                <w:numId w:val="50"/>
              </w:numPr>
              <w:rPr>
                <w:b/>
                <w:sz w:val="20"/>
                <w:szCs w:val="22"/>
              </w:rPr>
            </w:pPr>
            <w:r w:rsidRPr="00D131CC">
              <w:rPr>
                <w:sz w:val="20"/>
              </w:rPr>
              <w:t>Bei Haut- oder Augenkontakt sowie Inhalation ist wie bei dem Gefahrstoff angegeben zu verfahren.</w:t>
            </w:r>
          </w:p>
          <w:p w:rsidR="00623035" w:rsidRPr="00D131CC" w:rsidRDefault="00623035" w:rsidP="00D131CC">
            <w:pPr>
              <w:pStyle w:val="ListParagraph"/>
              <w:numPr>
                <w:ilvl w:val="0"/>
                <w:numId w:val="50"/>
              </w:numPr>
              <w:rPr>
                <w:b/>
                <w:sz w:val="20"/>
                <w:szCs w:val="22"/>
              </w:rPr>
            </w:pPr>
            <w:r w:rsidRPr="00D131CC">
              <w:rPr>
                <w:sz w:val="20"/>
              </w:rPr>
              <w:t>Ersthelfer verständigen, Notruf absetzen.</w:t>
            </w:r>
          </w:p>
          <w:p w:rsidR="00623035" w:rsidRPr="00D131CC" w:rsidRDefault="00623035" w:rsidP="00D131CC">
            <w:pPr>
              <w:pStyle w:val="ListParagraph"/>
              <w:numPr>
                <w:ilvl w:val="0"/>
                <w:numId w:val="50"/>
              </w:numPr>
              <w:rPr>
                <w:b/>
                <w:sz w:val="20"/>
                <w:szCs w:val="22"/>
              </w:rPr>
            </w:pPr>
            <w:r w:rsidRPr="00D131CC">
              <w:rPr>
                <w:sz w:val="20"/>
              </w:rPr>
              <w:t>Rettungspersonal einweisen.</w:t>
            </w:r>
          </w:p>
          <w:p w:rsidR="00623035" w:rsidRPr="00D131CC" w:rsidRDefault="00623035" w:rsidP="00D131CC">
            <w:pPr>
              <w:pStyle w:val="ListParagraph"/>
              <w:numPr>
                <w:ilvl w:val="0"/>
                <w:numId w:val="50"/>
              </w:numPr>
              <w:rPr>
                <w:b/>
                <w:sz w:val="20"/>
                <w:szCs w:val="22"/>
              </w:rPr>
            </w:pPr>
            <w:r w:rsidRPr="00D131CC">
              <w:rPr>
                <w:sz w:val="20"/>
              </w:rPr>
              <w:t>Bei Schockgefahr Notarzt rufen</w:t>
            </w:r>
          </w:p>
          <w:p w:rsidR="000D3B37" w:rsidRDefault="000D3B37" w:rsidP="00601517">
            <w:pPr>
              <w:jc w:val="both"/>
              <w:rPr>
                <w:sz w:val="21"/>
                <w:szCs w:val="21"/>
              </w:rPr>
            </w:pPr>
          </w:p>
          <w:p w:rsidR="000D3B37" w:rsidRPr="00092FC1" w:rsidRDefault="000D3B37" w:rsidP="000D3B37">
            <w:pPr>
              <w:jc w:val="both"/>
              <w:rPr>
                <w:sz w:val="21"/>
                <w:szCs w:val="21"/>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0D3B37" w:rsidTr="000D3B37">
        <w:trPr>
          <w:trHeight w:val="300"/>
        </w:trPr>
        <w:tc>
          <w:tcPr>
            <w:tcW w:w="10748" w:type="dxa"/>
            <w:gridSpan w:val="2"/>
            <w:tcBorders>
              <w:bottom w:val="single" w:sz="4" w:space="0" w:color="auto"/>
            </w:tcBorders>
            <w:shd w:val="clear" w:color="auto" w:fill="0000FF"/>
          </w:tcPr>
          <w:p w:rsidR="000D3B37" w:rsidRPr="000D3B37" w:rsidRDefault="000D3B37" w:rsidP="000D3B37">
            <w:pPr>
              <w:jc w:val="center"/>
              <w:rPr>
                <w:b/>
                <w:sz w:val="28"/>
                <w:szCs w:val="28"/>
              </w:rPr>
            </w:pPr>
            <w:r w:rsidRPr="000D3B37">
              <w:rPr>
                <w:b/>
                <w:sz w:val="28"/>
                <w:szCs w:val="28"/>
              </w:rPr>
              <w:t>Instandhaltung, Entsorgung</w:t>
            </w:r>
          </w:p>
        </w:tc>
      </w:tr>
      <w:tr w:rsidR="002C013C" w:rsidTr="000D3B37">
        <w:tc>
          <w:tcPr>
            <w:tcW w:w="1186" w:type="dxa"/>
            <w:tcBorders>
              <w:bottom w:val="single" w:sz="4" w:space="0" w:color="auto"/>
            </w:tcBorders>
          </w:tcPr>
          <w:p w:rsidR="002C013C" w:rsidRDefault="002C013C" w:rsidP="000D3B37">
            <w:pPr>
              <w:spacing w:before="60" w:after="60"/>
              <w:jc w:val="center"/>
            </w:pPr>
          </w:p>
        </w:tc>
        <w:tc>
          <w:tcPr>
            <w:tcW w:w="9562" w:type="dxa"/>
            <w:tcBorders>
              <w:bottom w:val="single" w:sz="4" w:space="0" w:color="auto"/>
            </w:tcBorders>
          </w:tcPr>
          <w:p w:rsidR="00541913" w:rsidRPr="00D131CC" w:rsidRDefault="00541913" w:rsidP="00D131CC">
            <w:pPr>
              <w:pStyle w:val="ListParagraph"/>
              <w:numPr>
                <w:ilvl w:val="0"/>
                <w:numId w:val="50"/>
              </w:numPr>
              <w:rPr>
                <w:sz w:val="20"/>
              </w:rPr>
            </w:pPr>
            <w:r w:rsidRPr="00D131CC">
              <w:rPr>
                <w:sz w:val="20"/>
              </w:rPr>
              <w:t>Die regelmäßige Prüfung der Anlage ist durch den Betreiber vorzunehmen</w:t>
            </w:r>
          </w:p>
          <w:p w:rsidR="002C013C" w:rsidRPr="00D131CC" w:rsidRDefault="00541913" w:rsidP="00D131CC">
            <w:pPr>
              <w:pStyle w:val="ListParagraph"/>
              <w:numPr>
                <w:ilvl w:val="0"/>
                <w:numId w:val="50"/>
              </w:numPr>
              <w:rPr>
                <w:sz w:val="20"/>
              </w:rPr>
            </w:pPr>
            <w:r w:rsidRPr="00D131CC">
              <w:rPr>
                <w:sz w:val="20"/>
              </w:rPr>
              <w:t>Einstellungen an dem Druckminderventil bzw. Überdruckventil sind durch eingewiesenes Fachpersonal vorzunehmen.</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2061CF"/>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EC0C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895BF5"/>
    <w:multiLevelType w:val="hybridMultilevel"/>
    <w:tmpl w:val="0B562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9A6F10"/>
    <w:multiLevelType w:val="hybridMultilevel"/>
    <w:tmpl w:val="1E66B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BB621F"/>
    <w:multiLevelType w:val="hybridMultilevel"/>
    <w:tmpl w:val="379CB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29E5B1E"/>
    <w:multiLevelType w:val="hybridMultilevel"/>
    <w:tmpl w:val="8E221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81757F6"/>
    <w:multiLevelType w:val="hybridMultilevel"/>
    <w:tmpl w:val="A6906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21"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2" w15:restartNumberingAfterBreak="0">
    <w:nsid w:val="245875B3"/>
    <w:multiLevelType w:val="hybridMultilevel"/>
    <w:tmpl w:val="4A201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2CD20B0"/>
    <w:multiLevelType w:val="hybridMultilevel"/>
    <w:tmpl w:val="72E2A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6953115"/>
    <w:multiLevelType w:val="hybridMultilevel"/>
    <w:tmpl w:val="4E5A3646"/>
    <w:lvl w:ilvl="0" w:tplc="FFFFFFFF">
      <w:numFmt w:val="bullet"/>
      <w:lvlText w:val=""/>
      <w:legacy w:legacy="1" w:legacySpace="0" w:legacyIndent="36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9D9741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2" w15:restartNumberingAfterBreak="0">
    <w:nsid w:val="43ED27F1"/>
    <w:multiLevelType w:val="hybridMultilevel"/>
    <w:tmpl w:val="11042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A02CF4"/>
    <w:multiLevelType w:val="hybridMultilevel"/>
    <w:tmpl w:val="BF2A36CA"/>
    <w:lvl w:ilvl="0" w:tplc="5EAE9230">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86D4A4A"/>
    <w:multiLevelType w:val="hybridMultilevel"/>
    <w:tmpl w:val="9216F1EC"/>
    <w:lvl w:ilvl="0" w:tplc="AC5276CA">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2605006"/>
    <w:multiLevelType w:val="hybridMultilevel"/>
    <w:tmpl w:val="99EC9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2BB7B69"/>
    <w:multiLevelType w:val="hybridMultilevel"/>
    <w:tmpl w:val="7B4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98D1459"/>
    <w:multiLevelType w:val="hybridMultilevel"/>
    <w:tmpl w:val="845C5534"/>
    <w:lvl w:ilvl="0" w:tplc="F97EFD20">
      <w:start w:val="1"/>
      <w:numFmt w:val="bullet"/>
      <w:lvlText w:val=""/>
      <w:lvlJc w:val="left"/>
      <w:pPr>
        <w:tabs>
          <w:tab w:val="num" w:pos="855"/>
        </w:tabs>
        <w:ind w:left="855" w:hanging="360"/>
      </w:pPr>
      <w:rPr>
        <w:rFonts w:ascii="Symbol" w:hAnsi="Symbol" w:hint="default"/>
        <w:color w:val="auto"/>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A116BD1"/>
    <w:multiLevelType w:val="hybridMultilevel"/>
    <w:tmpl w:val="0DF48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00F7D"/>
    <w:multiLevelType w:val="hybridMultilevel"/>
    <w:tmpl w:val="3F087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8F22990"/>
    <w:multiLevelType w:val="hybridMultilevel"/>
    <w:tmpl w:val="46AA5736"/>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48" w15:restartNumberingAfterBreak="0">
    <w:nsid w:val="7B136273"/>
    <w:multiLevelType w:val="hybridMultilevel"/>
    <w:tmpl w:val="2C088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BEF6188"/>
    <w:multiLevelType w:val="hybridMultilevel"/>
    <w:tmpl w:val="A8D2097C"/>
    <w:lvl w:ilvl="0" w:tplc="56043BF6">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5"/>
  </w:num>
  <w:num w:numId="4">
    <w:abstractNumId w:val="45"/>
  </w:num>
  <w:num w:numId="5">
    <w:abstractNumId w:val="38"/>
  </w:num>
  <w:num w:numId="6">
    <w:abstractNumId w:val="24"/>
  </w:num>
  <w:num w:numId="7">
    <w:abstractNumId w:val="14"/>
  </w:num>
  <w:num w:numId="8">
    <w:abstractNumId w:val="27"/>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9"/>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3"/>
  </w:num>
  <w:num w:numId="24">
    <w:abstractNumId w:val="16"/>
  </w:num>
  <w:num w:numId="25">
    <w:abstractNumId w:val="37"/>
  </w:num>
  <w:num w:numId="26">
    <w:abstractNumId w:val="10"/>
  </w:num>
  <w:num w:numId="27">
    <w:abstractNumId w:val="39"/>
  </w:num>
  <w:num w:numId="28">
    <w:abstractNumId w:val="13"/>
  </w:num>
  <w:num w:numId="29">
    <w:abstractNumId w:val="21"/>
  </w:num>
  <w:num w:numId="30">
    <w:abstractNumId w:val="40"/>
  </w:num>
  <w:num w:numId="31">
    <w:abstractNumId w:val="22"/>
  </w:num>
  <w:num w:numId="32">
    <w:abstractNumId w:val="49"/>
  </w:num>
  <w:num w:numId="33">
    <w:abstractNumId w:val="19"/>
  </w:num>
  <w:num w:numId="34">
    <w:abstractNumId w:val="28"/>
  </w:num>
  <w:num w:numId="35">
    <w:abstractNumId w:val="34"/>
  </w:num>
  <w:num w:numId="36">
    <w:abstractNumId w:val="31"/>
  </w:num>
  <w:num w:numId="37">
    <w:abstractNumId w:val="12"/>
  </w:num>
  <w:num w:numId="38">
    <w:abstractNumId w:val="46"/>
  </w:num>
  <w:num w:numId="39">
    <w:abstractNumId w:val="43"/>
  </w:num>
  <w:num w:numId="40">
    <w:abstractNumId w:val="48"/>
  </w:num>
  <w:num w:numId="41">
    <w:abstractNumId w:val="30"/>
  </w:num>
  <w:num w:numId="42">
    <w:abstractNumId w:val="42"/>
  </w:num>
  <w:num w:numId="43">
    <w:abstractNumId w:val="11"/>
  </w:num>
  <w:num w:numId="44">
    <w:abstractNumId w:val="44"/>
  </w:num>
  <w:num w:numId="45">
    <w:abstractNumId w:val="32"/>
  </w:num>
  <w:num w:numId="46">
    <w:abstractNumId w:val="41"/>
  </w:num>
  <w:num w:numId="47">
    <w:abstractNumId w:val="15"/>
  </w:num>
  <w:num w:numId="48">
    <w:abstractNumId w:val="17"/>
  </w:num>
  <w:num w:numId="49">
    <w:abstractNumId w:val="4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3B37"/>
    <w:rsid w:val="000F7AB7"/>
    <w:rsid w:val="00134F75"/>
    <w:rsid w:val="002061CF"/>
    <w:rsid w:val="0021497F"/>
    <w:rsid w:val="0029530E"/>
    <w:rsid w:val="002C013C"/>
    <w:rsid w:val="003C5550"/>
    <w:rsid w:val="004F24BB"/>
    <w:rsid w:val="00521380"/>
    <w:rsid w:val="00541913"/>
    <w:rsid w:val="00601517"/>
    <w:rsid w:val="00623035"/>
    <w:rsid w:val="00657F7F"/>
    <w:rsid w:val="006B3B48"/>
    <w:rsid w:val="00714180"/>
    <w:rsid w:val="0085650F"/>
    <w:rsid w:val="008E3FB2"/>
    <w:rsid w:val="00932A9A"/>
    <w:rsid w:val="0095622C"/>
    <w:rsid w:val="009C1DD6"/>
    <w:rsid w:val="009D46AE"/>
    <w:rsid w:val="00A177F1"/>
    <w:rsid w:val="00AB0BCC"/>
    <w:rsid w:val="00B65925"/>
    <w:rsid w:val="00C531FB"/>
    <w:rsid w:val="00C83821"/>
    <w:rsid w:val="00CD4049"/>
    <w:rsid w:val="00D131CC"/>
    <w:rsid w:val="00D97576"/>
    <w:rsid w:val="00DC5601"/>
    <w:rsid w:val="00E14BD8"/>
    <w:rsid w:val="00E9106E"/>
    <w:rsid w:val="00F543C2"/>
    <w:rsid w:val="00F845D7"/>
    <w:rsid w:val="00FA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7CB95"/>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customStyle="1" w:styleId="BA20-Feld0">
    <w:name w:val="BA20-Feld0"/>
    <w:basedOn w:val="Normal"/>
    <w:rsid w:val="00601517"/>
    <w:pPr>
      <w:spacing w:before="48" w:after="48"/>
      <w:jc w:val="both"/>
    </w:pPr>
  </w:style>
  <w:style w:type="paragraph" w:styleId="ListParagraph">
    <w:name w:val="List Paragraph"/>
    <w:basedOn w:val="Normal"/>
    <w:uiPriority w:val="34"/>
    <w:qFormat/>
    <w:rsid w:val="0054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0.tiff"/><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2150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 </vt:lpstr>
    </vt:vector>
  </TitlesOfParts>
  <Company>Steinbruchs-BG</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16</cp:revision>
  <cp:lastPrinted>2017-03-01T13:17:00Z</cp:lastPrinted>
  <dcterms:created xsi:type="dcterms:W3CDTF">2017-03-01T13:18:00Z</dcterms:created>
  <dcterms:modified xsi:type="dcterms:W3CDTF">2017-05-02T11:58:00Z</dcterms:modified>
</cp:coreProperties>
</file>