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9D4A54">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3E79F7EE" wp14:editId="682942E5">
                <wp:simplePos x="0" y="0"/>
                <wp:positionH relativeFrom="column">
                  <wp:posOffset>-75373</wp:posOffset>
                </wp:positionH>
                <wp:positionV relativeFrom="paragraph">
                  <wp:posOffset>-23615</wp:posOffset>
                </wp:positionV>
                <wp:extent cx="6962775" cy="9773728"/>
                <wp:effectExtent l="38100" t="38100" r="66675" b="565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773728"/>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F02C3" id="Rectangle 3" o:spid="_x0000_s1026" style="position:absolute;margin-left:-5.95pt;margin-top:-1.85pt;width:548.25pt;height:7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" o:allowincell="f" filled="f" strokecolor="blue" strokeweight="7pt"/>
            </w:pict>
          </mc:Fallback>
        </mc:AlternateContent>
      </w:r>
      <w:r w:rsidR="006A2E91" w:rsidRPr="000F7AB7">
        <w:rPr>
          <w:b/>
          <w:noProof/>
          <w:sz w:val="20"/>
        </w:rPr>
        <mc:AlternateContent>
          <mc:Choice Requires="wps">
            <w:drawing>
              <wp:anchor distT="0" distB="0" distL="114300" distR="114300" simplePos="0" relativeHeight="251656704" behindDoc="0" locked="0" layoutInCell="0" allowOverlap="1" wp14:anchorId="7A7E5264" wp14:editId="5B2BD06B">
                <wp:simplePos x="0" y="0"/>
                <wp:positionH relativeFrom="column">
                  <wp:posOffset>2348649</wp:posOffset>
                </wp:positionH>
                <wp:positionV relativeFrom="paragraph">
                  <wp:posOffset>10891</wp:posOffset>
                </wp:positionV>
                <wp:extent cx="2257425" cy="108692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86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6A2E91">
                              <w:rPr>
                                <w:b/>
                                <w:sz w:val="28"/>
                                <w:szCs w:val="28"/>
                              </w:rPr>
                              <w:t>den Umgang mit Druckgasflaschen</w:t>
                            </w:r>
                          </w:p>
                          <w:p w:rsidR="00521380" w:rsidRDefault="00521380">
                            <w:pPr>
                              <w:pStyle w:val="Heading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E5264" id="_x0000_t202" coordsize="21600,21600" o:spt="202" path="m,l,21600r21600,l21600,xe">
                <v:stroke joinstyle="miter"/>
                <v:path gradientshapeok="t" o:connecttype="rect"/>
              </v:shapetype>
              <v:shape id="Text Box 2" o:spid="_x0000_s1026" type="#_x0000_t202" style="position:absolute;margin-left:184.95pt;margin-top:.85pt;width:177.75pt;height:8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y7tQ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" o:allowincell="f" filled="f" stroked="f">
                <v:textbo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6A2E91">
                        <w:rPr>
                          <w:b/>
                          <w:sz w:val="28"/>
                          <w:szCs w:val="28"/>
                        </w:rPr>
                        <w:t>den Umgang mit Druckgasflaschen</w:t>
                      </w:r>
                    </w:p>
                    <w:p w:rsidR="00521380" w:rsidRDefault="00521380">
                      <w:pPr>
                        <w:pStyle w:val="berschrift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BF5744">
        <w:t>L</w:t>
      </w:r>
      <w:r w:rsidR="00092FC1">
        <w:t>abor</w:t>
      </w:r>
    </w:p>
    <w:p w:rsidR="00521380" w:rsidRDefault="00521380" w:rsidP="00A177F1">
      <w:pPr>
        <w:rPr>
          <w:sz w:val="18"/>
          <w:szCs w:val="18"/>
        </w:rPr>
      </w:pPr>
    </w:p>
    <w:p w:rsidR="00914AE4" w:rsidRDefault="009134F5" w:rsidP="00A177F1">
      <w:pPr>
        <w:rPr>
          <w:sz w:val="18"/>
          <w:szCs w:val="18"/>
        </w:rPr>
      </w:pPr>
      <w:r>
        <w:rPr>
          <w:noProof/>
        </w:rPr>
        <w:drawing>
          <wp:anchor distT="0" distB="0" distL="114300" distR="114300" simplePos="0" relativeHeight="251659776" behindDoc="1" locked="0" layoutInCell="1" allowOverlap="1" wp14:anchorId="4FDDC138" wp14:editId="094A65D4">
            <wp:simplePos x="0" y="0"/>
            <wp:positionH relativeFrom="column">
              <wp:posOffset>4164330</wp:posOffset>
            </wp:positionH>
            <wp:positionV relativeFrom="paragraph">
              <wp:posOffset>40005</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p>
    <w:p w:rsidR="009126E0" w:rsidRDefault="009134F5" w:rsidP="00A177F1">
      <w:pPr>
        <w:rPr>
          <w:sz w:val="18"/>
          <w:szCs w:val="18"/>
        </w:rPr>
      </w:pPr>
      <w:r>
        <w:rPr>
          <w:sz w:val="18"/>
          <w:szCs w:val="18"/>
        </w:rPr>
        <w:t>02.05.2017</w:t>
      </w:r>
      <w:bookmarkStart w:id="0" w:name="_GoBack"/>
      <w:bookmarkEnd w:id="0"/>
    </w:p>
    <w:p w:rsidR="00914AE4" w:rsidRPr="002061CF" w:rsidRDefault="00914AE4" w:rsidP="00A177F1">
      <w:pPr>
        <w:rPr>
          <w:sz w:val="18"/>
          <w:szCs w:val="18"/>
        </w:rPr>
      </w:pP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6979B2" w:rsidRPr="00CB1862" w:rsidTr="006979B2">
        <w:tc>
          <w:tcPr>
            <w:tcW w:w="1186" w:type="dxa"/>
            <w:tcBorders>
              <w:right w:val="nil"/>
            </w:tcBorders>
            <w:shd w:val="clear" w:color="auto" w:fill="0000FF"/>
          </w:tcPr>
          <w:p w:rsidR="006979B2" w:rsidRPr="00CB1862" w:rsidRDefault="006979B2" w:rsidP="000D3B37">
            <w:pPr>
              <w:overflowPunct/>
              <w:autoSpaceDE/>
              <w:autoSpaceDN/>
              <w:adjustRightInd/>
              <w:textAlignment w:val="auto"/>
              <w:rPr>
                <w:rFonts w:cs="Arial"/>
              </w:rPr>
            </w:pPr>
          </w:p>
        </w:tc>
        <w:tc>
          <w:tcPr>
            <w:tcW w:w="9562" w:type="dxa"/>
            <w:tcBorders>
              <w:left w:val="nil"/>
              <w:bottom w:val="single" w:sz="4" w:space="0" w:color="auto"/>
              <w:right w:val="single" w:sz="4" w:space="0" w:color="auto"/>
            </w:tcBorders>
            <w:shd w:val="clear" w:color="auto" w:fill="0000FF"/>
          </w:tcPr>
          <w:p w:rsidR="006979B2" w:rsidRPr="00CB1862" w:rsidRDefault="006979B2" w:rsidP="00914AE4">
            <w:pPr>
              <w:pStyle w:val="Heading2"/>
              <w:tabs>
                <w:tab w:val="center" w:pos="4711"/>
                <w:tab w:val="right" w:pos="9422"/>
              </w:tabs>
              <w:jc w:val="center"/>
              <w:rPr>
                <w:rFonts w:cs="Arial"/>
                <w:b/>
              </w:rPr>
            </w:pPr>
            <w:r w:rsidRPr="00CB1862">
              <w:rPr>
                <w:rFonts w:cs="Arial"/>
                <w:b/>
              </w:rPr>
              <w:t>Anwendungsbereich</w:t>
            </w:r>
          </w:p>
        </w:tc>
      </w:tr>
      <w:tr w:rsidR="006979B2" w:rsidRPr="00CB1862" w:rsidTr="006979B2">
        <w:tc>
          <w:tcPr>
            <w:tcW w:w="1186" w:type="dxa"/>
            <w:tcBorders>
              <w:right w:val="single" w:sz="4" w:space="0" w:color="auto"/>
            </w:tcBorders>
            <w:shd w:val="clear" w:color="auto" w:fill="auto"/>
          </w:tcPr>
          <w:p w:rsidR="006979B2" w:rsidRPr="00CB1862" w:rsidRDefault="006979B2" w:rsidP="000D3B37">
            <w:pPr>
              <w:overflowPunct/>
              <w:autoSpaceDE/>
              <w:autoSpaceDN/>
              <w:adjustRightInd/>
              <w:textAlignment w:val="auto"/>
              <w:rPr>
                <w:rFonts w:cs="Arial"/>
              </w:rPr>
            </w:pPr>
          </w:p>
        </w:tc>
        <w:tc>
          <w:tcPr>
            <w:tcW w:w="9562" w:type="dxa"/>
            <w:tcBorders>
              <w:left w:val="single" w:sz="4" w:space="0" w:color="auto"/>
              <w:right w:val="single" w:sz="4" w:space="0" w:color="auto"/>
            </w:tcBorders>
            <w:shd w:val="clear" w:color="auto" w:fill="auto"/>
          </w:tcPr>
          <w:p w:rsidR="006979B2" w:rsidRPr="007F251F" w:rsidRDefault="006979B2" w:rsidP="007F251F">
            <w:pPr>
              <w:rPr>
                <w:b/>
                <w:sz w:val="20"/>
              </w:rPr>
            </w:pPr>
            <w:r w:rsidRPr="007F251F">
              <w:rPr>
                <w:sz w:val="20"/>
              </w:rPr>
              <w:t xml:space="preserve">Die Betriebsanweisung gilt für  </w:t>
            </w:r>
            <w:r w:rsidR="006A2E91" w:rsidRPr="007F251F">
              <w:rPr>
                <w:sz w:val="20"/>
              </w:rPr>
              <w:t>das Arbeiten und den Umgang mit Druckgasflaschen.</w:t>
            </w:r>
          </w:p>
        </w:tc>
      </w:tr>
      <w:tr w:rsidR="002C013C" w:rsidRPr="00CB1862" w:rsidTr="000D3B37">
        <w:tc>
          <w:tcPr>
            <w:tcW w:w="1186" w:type="dxa"/>
            <w:tcBorders>
              <w:right w:val="nil"/>
            </w:tcBorders>
            <w:shd w:val="clear" w:color="auto" w:fill="0000FF"/>
          </w:tcPr>
          <w:p w:rsidR="002C013C" w:rsidRPr="00CB1862" w:rsidRDefault="002C013C" w:rsidP="000D3B37">
            <w:pPr>
              <w:overflowPunct/>
              <w:autoSpaceDE/>
              <w:autoSpaceDN/>
              <w:adjustRightInd/>
              <w:textAlignment w:val="auto"/>
              <w:rPr>
                <w:rFonts w:cs="Arial"/>
              </w:rPr>
            </w:pPr>
          </w:p>
        </w:tc>
        <w:tc>
          <w:tcPr>
            <w:tcW w:w="9562" w:type="dxa"/>
            <w:tcBorders>
              <w:left w:val="nil"/>
              <w:right w:val="single" w:sz="4" w:space="0" w:color="auto"/>
            </w:tcBorders>
            <w:shd w:val="clear" w:color="auto" w:fill="0000FF"/>
          </w:tcPr>
          <w:p w:rsidR="002C013C" w:rsidRPr="00CB1862" w:rsidRDefault="002C013C" w:rsidP="00914AE4">
            <w:pPr>
              <w:pStyle w:val="Heading2"/>
              <w:tabs>
                <w:tab w:val="center" w:pos="4711"/>
                <w:tab w:val="right" w:pos="9422"/>
              </w:tabs>
              <w:jc w:val="center"/>
              <w:rPr>
                <w:rFonts w:cs="Arial"/>
                <w:b/>
                <w:caps/>
              </w:rPr>
            </w:pPr>
            <w:r w:rsidRPr="00CB1862">
              <w:rPr>
                <w:rFonts w:cs="Arial"/>
                <w:b/>
              </w:rPr>
              <w:t>Gefahren für Mensch und Umwelt</w:t>
            </w:r>
          </w:p>
        </w:tc>
      </w:tr>
      <w:tr w:rsidR="002C013C" w:rsidRPr="00CB1862" w:rsidTr="006A2E91">
        <w:tc>
          <w:tcPr>
            <w:tcW w:w="1186" w:type="dxa"/>
            <w:tcBorders>
              <w:bottom w:val="single" w:sz="4" w:space="0" w:color="auto"/>
            </w:tcBorders>
            <w:vAlign w:val="center"/>
          </w:tcPr>
          <w:p w:rsidR="002C013C" w:rsidRPr="00CB1862" w:rsidRDefault="003C4C23" w:rsidP="006A2E91">
            <w:pPr>
              <w:spacing w:before="60" w:after="60"/>
              <w:jc w:val="center"/>
              <w:rPr>
                <w:rFonts w:cs="Arial"/>
                <w:noProof/>
              </w:rPr>
            </w:pPr>
            <w:r>
              <w:rPr>
                <w:noProof/>
              </w:rPr>
              <w:drawing>
                <wp:inline distT="0" distB="0" distL="0" distR="0">
                  <wp:extent cx="468000" cy="468000"/>
                  <wp:effectExtent l="0" t="0" r="8255" b="8255"/>
                  <wp:docPr id="3" name="Grafik 3" descr="Warnung vor Gasflaschen (BGV A8 W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Gasflaschen (BGV A8 W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BF5744" w:rsidRPr="007F251F" w:rsidRDefault="006A2E91" w:rsidP="007F251F">
            <w:pPr>
              <w:pStyle w:val="ListParagraph"/>
              <w:numPr>
                <w:ilvl w:val="0"/>
                <w:numId w:val="39"/>
              </w:numPr>
              <w:rPr>
                <w:sz w:val="20"/>
              </w:rPr>
            </w:pPr>
            <w:r w:rsidRPr="007F251F">
              <w:rPr>
                <w:sz w:val="20"/>
              </w:rPr>
              <w:t>Druckgasflaschen stehen unter hohen Drücken (bis 200 bar) und besitzen beim Bersten ein massives Zerstörungspotential.</w:t>
            </w:r>
          </w:p>
          <w:p w:rsidR="006A2E91" w:rsidRPr="007F251F" w:rsidRDefault="006A2E91" w:rsidP="007F251F">
            <w:pPr>
              <w:pStyle w:val="ListParagraph"/>
              <w:numPr>
                <w:ilvl w:val="0"/>
                <w:numId w:val="39"/>
              </w:numPr>
              <w:rPr>
                <w:sz w:val="20"/>
              </w:rPr>
            </w:pPr>
            <w:r w:rsidRPr="007F251F">
              <w:rPr>
                <w:sz w:val="20"/>
              </w:rPr>
              <w:t>Bei Undichtigkeiten können in gefährlichem Ausmaß leichtentzündliche oder giftige Stoffe freigesetzt werden bzw. explosive Gasmischungen entstehen.</w:t>
            </w:r>
          </w:p>
          <w:p w:rsidR="006A2E91" w:rsidRPr="007F251F" w:rsidRDefault="006A2E91" w:rsidP="007F251F">
            <w:pPr>
              <w:pStyle w:val="ListParagraph"/>
              <w:numPr>
                <w:ilvl w:val="0"/>
                <w:numId w:val="39"/>
              </w:numPr>
              <w:rPr>
                <w:sz w:val="20"/>
              </w:rPr>
            </w:pPr>
            <w:r w:rsidRPr="007F251F">
              <w:rPr>
                <w:sz w:val="20"/>
              </w:rPr>
              <w:t>Wegen des hohen Gewichtes der Flaschen besteht beim Hantieren und Transport ein beträchtliches Verletzungsrisiko.</w:t>
            </w:r>
          </w:p>
        </w:tc>
      </w:tr>
      <w:tr w:rsidR="002C013C" w:rsidRPr="00CB1862" w:rsidTr="000D3B37">
        <w:tc>
          <w:tcPr>
            <w:tcW w:w="1186" w:type="dxa"/>
            <w:tcBorders>
              <w:right w:val="nil"/>
            </w:tcBorders>
            <w:shd w:val="clear" w:color="auto" w:fill="0000FF"/>
          </w:tcPr>
          <w:p w:rsidR="002C013C" w:rsidRPr="00CB1862" w:rsidRDefault="002C013C" w:rsidP="000D3B37">
            <w:pPr>
              <w:spacing w:line="360" w:lineRule="atLeast"/>
              <w:rPr>
                <w:rFonts w:cs="Arial"/>
              </w:rPr>
            </w:pPr>
          </w:p>
        </w:tc>
        <w:tc>
          <w:tcPr>
            <w:tcW w:w="9562" w:type="dxa"/>
            <w:tcBorders>
              <w:left w:val="nil"/>
              <w:right w:val="single" w:sz="4" w:space="0" w:color="auto"/>
            </w:tcBorders>
            <w:shd w:val="clear" w:color="auto" w:fill="0000FF"/>
          </w:tcPr>
          <w:p w:rsidR="002C013C" w:rsidRPr="00CB1862" w:rsidRDefault="002C013C" w:rsidP="0000778E">
            <w:pPr>
              <w:pStyle w:val="Heading3"/>
              <w:ind w:left="579"/>
              <w:rPr>
                <w:rFonts w:cs="Arial"/>
                <w:caps/>
              </w:rPr>
            </w:pPr>
            <w:r w:rsidRPr="00CB1862">
              <w:rPr>
                <w:rFonts w:cs="Arial"/>
              </w:rPr>
              <w:t>Schutzmaßnahmen und Verhaltensregeln</w:t>
            </w:r>
          </w:p>
        </w:tc>
      </w:tr>
      <w:tr w:rsidR="002C013C" w:rsidRPr="00CB1862" w:rsidTr="000D3B37">
        <w:tc>
          <w:tcPr>
            <w:tcW w:w="1186" w:type="dxa"/>
            <w:tcBorders>
              <w:bottom w:val="single" w:sz="4" w:space="0" w:color="auto"/>
            </w:tcBorders>
            <w:vAlign w:val="center"/>
          </w:tcPr>
          <w:p w:rsidR="00BF5744" w:rsidRPr="00CB1862" w:rsidRDefault="00E51ABB" w:rsidP="000D3B37">
            <w:pPr>
              <w:spacing w:before="60" w:after="60"/>
              <w:jc w:val="center"/>
              <w:rPr>
                <w:rFonts w:cs="Arial"/>
              </w:rPr>
            </w:pPr>
            <w:r>
              <w:rPr>
                <w:noProof/>
              </w:rPr>
              <w:drawing>
                <wp:inline distT="0" distB="0" distL="0" distR="0">
                  <wp:extent cx="468000" cy="468000"/>
                  <wp:effectExtent l="0" t="0" r="8255" b="8255"/>
                  <wp:docPr id="4" name="Grafik 4"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1/ISO_7010_M004.svg/120px-ISO_7010_M004.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2C013C" w:rsidRPr="00CB1862" w:rsidRDefault="00E51ABB" w:rsidP="000D3B37">
            <w:pPr>
              <w:spacing w:before="60" w:after="60"/>
              <w:jc w:val="center"/>
              <w:rPr>
                <w:rFonts w:cs="Arial"/>
              </w:rPr>
            </w:pPr>
            <w:r>
              <w:rPr>
                <w:noProof/>
              </w:rPr>
              <w:drawing>
                <wp:inline distT="0" distB="0" distL="0" distR="0">
                  <wp:extent cx="468000" cy="468000"/>
                  <wp:effectExtent l="0" t="0" r="8255" b="8255"/>
                  <wp:docPr id="5" name="Grafik 5" descr="https://upload.wikimedia.org/wikipedia/commons/thumb/e/ee/ISO_7010_M001.svg/120px-ISO_7010_M0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e/ISO_7010_M001.svg/120px-ISO_7010_M001.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2D2934" w:rsidRPr="007F251F" w:rsidRDefault="006A2E91" w:rsidP="007F251F">
            <w:pPr>
              <w:pStyle w:val="ListParagraph"/>
              <w:numPr>
                <w:ilvl w:val="0"/>
                <w:numId w:val="39"/>
              </w:numPr>
              <w:rPr>
                <w:sz w:val="20"/>
              </w:rPr>
            </w:pPr>
            <w:r w:rsidRPr="007F251F">
              <w:rPr>
                <w:sz w:val="20"/>
              </w:rPr>
              <w:t>Vor der Verwendung über das Gefahrenpotential des Inhaltes informieren.</w:t>
            </w:r>
          </w:p>
          <w:p w:rsidR="006A2E91" w:rsidRPr="007F251F" w:rsidRDefault="006A2E91" w:rsidP="007F251F">
            <w:pPr>
              <w:pStyle w:val="ListParagraph"/>
              <w:numPr>
                <w:ilvl w:val="0"/>
                <w:numId w:val="39"/>
              </w:numPr>
              <w:rPr>
                <w:sz w:val="20"/>
              </w:rPr>
            </w:pPr>
            <w:r w:rsidRPr="007F251F">
              <w:rPr>
                <w:sz w:val="20"/>
              </w:rPr>
              <w:t xml:space="preserve">Druckgasflaschen dürfen nur mit aufgeschraubter Schutzkappe auf der vorgesehenen Flaschenkarre transportiert werden. </w:t>
            </w:r>
          </w:p>
          <w:p w:rsidR="006A2E91" w:rsidRPr="007F251F" w:rsidRDefault="006A2E91" w:rsidP="007F251F">
            <w:pPr>
              <w:pStyle w:val="ListParagraph"/>
              <w:numPr>
                <w:ilvl w:val="0"/>
                <w:numId w:val="39"/>
              </w:numPr>
              <w:rPr>
                <w:sz w:val="20"/>
              </w:rPr>
            </w:pPr>
            <w:r w:rsidRPr="007F251F">
              <w:rPr>
                <w:sz w:val="20"/>
              </w:rPr>
              <w:t>Druckgasflaschen sind stets durch Anketten (Gasfl</w:t>
            </w:r>
            <w:r w:rsidR="00552D5E" w:rsidRPr="007F251F">
              <w:rPr>
                <w:sz w:val="20"/>
              </w:rPr>
              <w:t>a</w:t>
            </w:r>
            <w:r w:rsidRPr="007F251F">
              <w:rPr>
                <w:sz w:val="20"/>
              </w:rPr>
              <w:t>schenschrank, Wandhalterungen, Transportkarre) bzw. durch Vorlegen der Riegel (Gasflaschenlager) gegen Umstürze zu sichern. Sie sind vor Stoß, Schlag und übermäßiger Erwärmung zu schützen.</w:t>
            </w:r>
          </w:p>
          <w:p w:rsidR="006A2E91" w:rsidRPr="007F251F" w:rsidRDefault="006A2E91" w:rsidP="007F251F">
            <w:pPr>
              <w:pStyle w:val="ListParagraph"/>
              <w:numPr>
                <w:ilvl w:val="0"/>
                <w:numId w:val="39"/>
              </w:numPr>
              <w:rPr>
                <w:sz w:val="20"/>
              </w:rPr>
            </w:pPr>
            <w:r w:rsidRPr="007F251F">
              <w:rPr>
                <w:sz w:val="20"/>
              </w:rPr>
              <w:t xml:space="preserve">Flaschenventile (Hauptventile) dürfen nicht mit Werkzeugen geöffnet oder geschlossen werden. Lässt sich das Flaschenventil nicht von Hand öffnen oder dicht schließen ist die Druckflasche als defekt einzustufen und als solche zu kennzeichnen. </w:t>
            </w:r>
            <w:r w:rsidR="00564B28" w:rsidRPr="007F251F">
              <w:rPr>
                <w:sz w:val="20"/>
              </w:rPr>
              <w:t>Sie darf nicht weiterverwendet werden.</w:t>
            </w:r>
          </w:p>
          <w:p w:rsidR="00564B28" w:rsidRPr="007F251F" w:rsidRDefault="00564B28" w:rsidP="007F251F">
            <w:pPr>
              <w:pStyle w:val="ListParagraph"/>
              <w:numPr>
                <w:ilvl w:val="0"/>
                <w:numId w:val="39"/>
              </w:numPr>
              <w:rPr>
                <w:sz w:val="20"/>
              </w:rPr>
            </w:pPr>
            <w:r w:rsidRPr="007F251F">
              <w:rPr>
                <w:sz w:val="20"/>
              </w:rPr>
              <w:t>Hauptventil niemals ohne Druckminderer öffnen.</w:t>
            </w:r>
          </w:p>
          <w:p w:rsidR="00564B28" w:rsidRPr="007F251F" w:rsidRDefault="00564B28" w:rsidP="007F251F">
            <w:pPr>
              <w:pStyle w:val="ListParagraph"/>
              <w:numPr>
                <w:ilvl w:val="0"/>
                <w:numId w:val="39"/>
              </w:numPr>
              <w:rPr>
                <w:sz w:val="20"/>
              </w:rPr>
            </w:pPr>
            <w:r w:rsidRPr="007F251F">
              <w:rPr>
                <w:sz w:val="20"/>
              </w:rPr>
              <w:t>Nach dem Anschluss des Druckminderes ist auf Dichtigkeit zu überprüfen (z. B. Druckkonstanz, Seifenschaum).</w:t>
            </w:r>
          </w:p>
          <w:p w:rsidR="00564B28" w:rsidRPr="007F251F" w:rsidRDefault="00564B28" w:rsidP="007F251F">
            <w:pPr>
              <w:pStyle w:val="ListParagraph"/>
              <w:numPr>
                <w:ilvl w:val="0"/>
                <w:numId w:val="39"/>
              </w:numPr>
              <w:rPr>
                <w:sz w:val="20"/>
              </w:rPr>
            </w:pPr>
            <w:r w:rsidRPr="007F251F">
              <w:rPr>
                <w:b/>
                <w:sz w:val="20"/>
              </w:rPr>
              <w:t xml:space="preserve">Zur </w:t>
            </w:r>
            <w:r w:rsidR="00552D5E" w:rsidRPr="007F251F">
              <w:rPr>
                <w:b/>
                <w:sz w:val="20"/>
              </w:rPr>
              <w:t>E</w:t>
            </w:r>
            <w:r w:rsidRPr="007F251F">
              <w:rPr>
                <w:b/>
                <w:sz w:val="20"/>
              </w:rPr>
              <w:t>ntnahme von Gasen wird zunächst bei geschlossenem Entnahmeventil (am Druckminderer) das Hauptventil geöffnet. Erst dann wird das Entnahmeventil vorsichtig geöffnet und der gewünschte Gasstrom eingestellt.</w:t>
            </w:r>
          </w:p>
        </w:tc>
      </w:tr>
      <w:tr w:rsidR="000D3B37" w:rsidRPr="00CB1862" w:rsidTr="000D3B37">
        <w:trPr>
          <w:trHeight w:val="300"/>
        </w:trPr>
        <w:tc>
          <w:tcPr>
            <w:tcW w:w="10748" w:type="dxa"/>
            <w:gridSpan w:val="2"/>
            <w:tcBorders>
              <w:bottom w:val="single" w:sz="4" w:space="0" w:color="auto"/>
            </w:tcBorders>
            <w:shd w:val="clear" w:color="auto" w:fill="0000FF"/>
            <w:vAlign w:val="center"/>
          </w:tcPr>
          <w:p w:rsidR="000D3B37" w:rsidRPr="00CB1862" w:rsidRDefault="000D3B37" w:rsidP="0000778E">
            <w:pPr>
              <w:ind w:left="579"/>
              <w:jc w:val="center"/>
              <w:rPr>
                <w:rFonts w:cs="Arial"/>
                <w:b/>
                <w:sz w:val="28"/>
                <w:szCs w:val="28"/>
              </w:rPr>
            </w:pPr>
            <w:r w:rsidRPr="00CB1862">
              <w:rPr>
                <w:rFonts w:cs="Arial"/>
                <w:b/>
                <w:sz w:val="28"/>
                <w:szCs w:val="28"/>
              </w:rPr>
              <w:t>Verhalten bei Störungen</w:t>
            </w:r>
          </w:p>
        </w:tc>
      </w:tr>
      <w:tr w:rsidR="002C013C" w:rsidRPr="00CB1862" w:rsidTr="000D3B37">
        <w:tc>
          <w:tcPr>
            <w:tcW w:w="1186" w:type="dxa"/>
            <w:tcBorders>
              <w:bottom w:val="single" w:sz="4" w:space="0" w:color="auto"/>
            </w:tcBorders>
          </w:tcPr>
          <w:p w:rsidR="002C013C" w:rsidRPr="00CB1862" w:rsidRDefault="002C013C" w:rsidP="000D3B37">
            <w:pPr>
              <w:spacing w:before="60" w:after="60"/>
              <w:jc w:val="center"/>
              <w:rPr>
                <w:rFonts w:cs="Arial"/>
              </w:rPr>
            </w:pPr>
          </w:p>
        </w:tc>
        <w:tc>
          <w:tcPr>
            <w:tcW w:w="9562" w:type="dxa"/>
            <w:tcBorders>
              <w:bottom w:val="single" w:sz="4" w:space="0" w:color="auto"/>
            </w:tcBorders>
          </w:tcPr>
          <w:p w:rsidR="002D2934" w:rsidRPr="007F251F" w:rsidRDefault="008E06CC" w:rsidP="007F251F">
            <w:pPr>
              <w:rPr>
                <w:sz w:val="20"/>
              </w:rPr>
            </w:pPr>
            <w:r w:rsidRPr="007F251F">
              <w:rPr>
                <w:sz w:val="20"/>
              </w:rPr>
              <w:t>Bei Undichtigkeiten Druckgasbehälter sofort durch Betätigung des Hauptventils schließen, erst nach Beseitigung der Undichtigkeit wieder in Betrieb nehmen.</w:t>
            </w:r>
          </w:p>
          <w:p w:rsidR="008E06CC" w:rsidRPr="007F251F" w:rsidRDefault="008E06CC" w:rsidP="007F251F">
            <w:pPr>
              <w:rPr>
                <w:sz w:val="20"/>
              </w:rPr>
            </w:pPr>
            <w:r w:rsidRPr="007F251F">
              <w:rPr>
                <w:sz w:val="20"/>
              </w:rPr>
              <w:t>Bei Bränden Behälter möglichst durch Spritzwasser kühlen. Bei größeren Bränden Feuerwehr auf das Vorhandensein von Druckgasflaschen im Gefahrenbereich hinweisen.</w:t>
            </w:r>
          </w:p>
        </w:tc>
      </w:tr>
      <w:tr w:rsidR="000D3B37" w:rsidRPr="00CB1862" w:rsidTr="000D3B37">
        <w:trPr>
          <w:trHeight w:val="300"/>
        </w:trPr>
        <w:tc>
          <w:tcPr>
            <w:tcW w:w="10748" w:type="dxa"/>
            <w:gridSpan w:val="2"/>
            <w:tcBorders>
              <w:bottom w:val="single" w:sz="4" w:space="0" w:color="auto"/>
            </w:tcBorders>
            <w:shd w:val="clear" w:color="auto" w:fill="0000FF"/>
          </w:tcPr>
          <w:p w:rsidR="000D3B37" w:rsidRPr="00CB1862" w:rsidRDefault="000D3B37" w:rsidP="0000778E">
            <w:pPr>
              <w:ind w:left="579"/>
              <w:jc w:val="center"/>
              <w:rPr>
                <w:rFonts w:cs="Arial"/>
                <w:b/>
                <w:sz w:val="28"/>
                <w:szCs w:val="28"/>
              </w:rPr>
            </w:pPr>
            <w:r w:rsidRPr="00CB1862">
              <w:rPr>
                <w:rFonts w:cs="Arial"/>
                <w:b/>
                <w:sz w:val="28"/>
                <w:szCs w:val="28"/>
              </w:rPr>
              <w:t>Verhalten bei Unfällen, Erste Hilfe</w:t>
            </w:r>
          </w:p>
        </w:tc>
      </w:tr>
      <w:tr w:rsidR="002C013C" w:rsidRPr="00CB1862" w:rsidTr="0067213D">
        <w:tc>
          <w:tcPr>
            <w:tcW w:w="1186" w:type="dxa"/>
            <w:tcBorders>
              <w:bottom w:val="single" w:sz="4" w:space="0" w:color="auto"/>
            </w:tcBorders>
            <w:vAlign w:val="center"/>
          </w:tcPr>
          <w:p w:rsidR="002C013C" w:rsidRPr="00CB1862" w:rsidRDefault="002C013C" w:rsidP="0067213D">
            <w:pPr>
              <w:spacing w:before="60" w:after="60"/>
              <w:jc w:val="center"/>
              <w:rPr>
                <w:rFonts w:cs="Arial"/>
              </w:rPr>
            </w:pPr>
            <w:r w:rsidRPr="00CB1862">
              <w:rPr>
                <w:rFonts w:cs="Arial"/>
                <w:noProof/>
              </w:rPr>
              <w:drawing>
                <wp:inline distT="0" distB="0" distL="0" distR="0">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375AB9" w:rsidRPr="007F251F" w:rsidRDefault="008E06CC" w:rsidP="007F251F">
            <w:pPr>
              <w:pStyle w:val="ListParagraph"/>
              <w:numPr>
                <w:ilvl w:val="0"/>
                <w:numId w:val="38"/>
              </w:numPr>
              <w:rPr>
                <w:b/>
                <w:sz w:val="18"/>
                <w:szCs w:val="22"/>
              </w:rPr>
            </w:pPr>
            <w:r w:rsidRPr="007F251F">
              <w:rPr>
                <w:sz w:val="20"/>
              </w:rPr>
              <w:t>Erste-Hilfe leisten, dabei auf Eigenschutz achten.</w:t>
            </w:r>
          </w:p>
          <w:p w:rsidR="008E06CC" w:rsidRPr="007F251F" w:rsidRDefault="008E06CC" w:rsidP="007F251F">
            <w:pPr>
              <w:pStyle w:val="ListParagraph"/>
              <w:numPr>
                <w:ilvl w:val="0"/>
                <w:numId w:val="38"/>
              </w:numPr>
              <w:rPr>
                <w:b/>
                <w:sz w:val="18"/>
                <w:szCs w:val="22"/>
              </w:rPr>
            </w:pPr>
            <w:r w:rsidRPr="007F251F">
              <w:rPr>
                <w:sz w:val="20"/>
              </w:rPr>
              <w:t>Verletzte Personen aus dem Gefahrenbereich bringen.</w:t>
            </w:r>
          </w:p>
          <w:p w:rsidR="008E06CC" w:rsidRPr="007F251F" w:rsidRDefault="008E06CC" w:rsidP="007F251F">
            <w:pPr>
              <w:pStyle w:val="ListParagraph"/>
              <w:numPr>
                <w:ilvl w:val="0"/>
                <w:numId w:val="38"/>
              </w:numPr>
              <w:rPr>
                <w:b/>
                <w:sz w:val="18"/>
                <w:szCs w:val="22"/>
              </w:rPr>
            </w:pPr>
            <w:r w:rsidRPr="007F251F">
              <w:rPr>
                <w:sz w:val="20"/>
              </w:rPr>
              <w:t xml:space="preserve">Bei Haut- oder </w:t>
            </w:r>
            <w:r w:rsidR="00E51ABB" w:rsidRPr="007F251F">
              <w:rPr>
                <w:sz w:val="20"/>
              </w:rPr>
              <w:t>A</w:t>
            </w:r>
            <w:r w:rsidRPr="007F251F">
              <w:rPr>
                <w:sz w:val="20"/>
              </w:rPr>
              <w:t>ugenkontakt sowie Inhalation ist wie bei dem Gefahrstoff angegeben zu verfahren.</w:t>
            </w:r>
          </w:p>
          <w:p w:rsidR="008E06CC" w:rsidRPr="007F251F" w:rsidRDefault="008E06CC" w:rsidP="007F251F">
            <w:pPr>
              <w:pStyle w:val="ListParagraph"/>
              <w:numPr>
                <w:ilvl w:val="0"/>
                <w:numId w:val="38"/>
              </w:numPr>
              <w:rPr>
                <w:b/>
                <w:sz w:val="18"/>
                <w:szCs w:val="22"/>
              </w:rPr>
            </w:pPr>
            <w:r w:rsidRPr="007F251F">
              <w:rPr>
                <w:sz w:val="20"/>
              </w:rPr>
              <w:t>Ersthelfer verständigen, Notruf absetzen.</w:t>
            </w:r>
          </w:p>
          <w:p w:rsidR="008E06CC" w:rsidRPr="007F251F" w:rsidRDefault="008E06CC" w:rsidP="007F251F">
            <w:pPr>
              <w:pStyle w:val="ListParagraph"/>
              <w:numPr>
                <w:ilvl w:val="0"/>
                <w:numId w:val="38"/>
              </w:numPr>
              <w:rPr>
                <w:b/>
                <w:sz w:val="18"/>
                <w:szCs w:val="22"/>
              </w:rPr>
            </w:pPr>
            <w:r w:rsidRPr="007F251F">
              <w:rPr>
                <w:sz w:val="20"/>
              </w:rPr>
              <w:t>Rettungspersonal einweisen.</w:t>
            </w:r>
          </w:p>
          <w:p w:rsidR="008E06CC" w:rsidRPr="007F251F" w:rsidRDefault="008E06CC" w:rsidP="007F251F">
            <w:pPr>
              <w:pStyle w:val="ListParagraph"/>
              <w:numPr>
                <w:ilvl w:val="0"/>
                <w:numId w:val="38"/>
              </w:numPr>
              <w:rPr>
                <w:b/>
                <w:sz w:val="18"/>
                <w:szCs w:val="22"/>
              </w:rPr>
            </w:pPr>
            <w:r w:rsidRPr="007F251F">
              <w:rPr>
                <w:sz w:val="20"/>
              </w:rPr>
              <w:t>Bei Schockgefahr Notarzt rufen</w:t>
            </w:r>
          </w:p>
          <w:p w:rsidR="00375AB9" w:rsidRPr="00CB1862" w:rsidRDefault="00375AB9" w:rsidP="0000778E">
            <w:pPr>
              <w:ind w:left="579"/>
              <w:rPr>
                <w:rFonts w:cs="Arial"/>
                <w:b/>
                <w:sz w:val="22"/>
                <w:szCs w:val="22"/>
              </w:rPr>
            </w:pPr>
          </w:p>
          <w:p w:rsidR="000D3B37" w:rsidRPr="00CB1862" w:rsidRDefault="000D3B37" w:rsidP="0000778E">
            <w:pPr>
              <w:jc w:val="both"/>
              <w:rPr>
                <w:rFonts w:cs="Arial"/>
                <w:sz w:val="21"/>
                <w:szCs w:val="21"/>
              </w:rPr>
            </w:pPr>
            <w:r w:rsidRPr="00CB1862">
              <w:rPr>
                <w:rFonts w:cs="Arial"/>
                <w:b/>
                <w:szCs w:val="24"/>
              </w:rPr>
              <w:t xml:space="preserve">Notruf: 112  </w:t>
            </w:r>
            <w:r w:rsidRPr="00CB1862">
              <w:rPr>
                <w:rFonts w:cs="Arial"/>
                <w:sz w:val="20"/>
              </w:rPr>
              <w:t xml:space="preserve">              Ersthelfer:  Dr. Matthias Stolte</w:t>
            </w:r>
          </w:p>
        </w:tc>
      </w:tr>
      <w:tr w:rsidR="000D3B37" w:rsidRPr="00CB1862" w:rsidTr="000D3B37">
        <w:trPr>
          <w:trHeight w:val="300"/>
        </w:trPr>
        <w:tc>
          <w:tcPr>
            <w:tcW w:w="10748" w:type="dxa"/>
            <w:gridSpan w:val="2"/>
            <w:tcBorders>
              <w:bottom w:val="single" w:sz="4" w:space="0" w:color="auto"/>
            </w:tcBorders>
            <w:shd w:val="clear" w:color="auto" w:fill="0000FF"/>
          </w:tcPr>
          <w:p w:rsidR="000D3B37" w:rsidRPr="00CB1862" w:rsidRDefault="000D3B37" w:rsidP="000D3B37">
            <w:pPr>
              <w:jc w:val="center"/>
              <w:rPr>
                <w:rFonts w:cs="Arial"/>
                <w:b/>
                <w:sz w:val="28"/>
                <w:szCs w:val="28"/>
              </w:rPr>
            </w:pPr>
            <w:r w:rsidRPr="00CB1862">
              <w:rPr>
                <w:rFonts w:cs="Arial"/>
                <w:b/>
                <w:sz w:val="28"/>
                <w:szCs w:val="28"/>
              </w:rPr>
              <w:t>Instandhaltung, Entsorgung</w:t>
            </w:r>
          </w:p>
        </w:tc>
      </w:tr>
      <w:tr w:rsidR="002C013C" w:rsidRPr="00CB1862" w:rsidTr="000D3B37">
        <w:tc>
          <w:tcPr>
            <w:tcW w:w="1186" w:type="dxa"/>
            <w:tcBorders>
              <w:bottom w:val="single" w:sz="4" w:space="0" w:color="auto"/>
            </w:tcBorders>
          </w:tcPr>
          <w:p w:rsidR="002C013C" w:rsidRPr="00CB1862" w:rsidRDefault="002C013C" w:rsidP="000D3B37">
            <w:pPr>
              <w:spacing w:before="60" w:after="60"/>
              <w:jc w:val="center"/>
              <w:rPr>
                <w:rFonts w:cs="Arial"/>
              </w:rPr>
            </w:pPr>
          </w:p>
        </w:tc>
        <w:tc>
          <w:tcPr>
            <w:tcW w:w="9562" w:type="dxa"/>
            <w:tcBorders>
              <w:bottom w:val="single" w:sz="4" w:space="0" w:color="auto"/>
            </w:tcBorders>
          </w:tcPr>
          <w:p w:rsidR="002C013C" w:rsidRPr="007F251F" w:rsidRDefault="008E06CC" w:rsidP="007F251F">
            <w:pPr>
              <w:rPr>
                <w:sz w:val="20"/>
              </w:rPr>
            </w:pPr>
            <w:r w:rsidRPr="007F251F">
              <w:rPr>
                <w:sz w:val="20"/>
              </w:rPr>
              <w:t>Entleerte Druckgasflaschen sollen noch einen geringen Restdruck aufweisen. Sie sind eindeutig als leer zu kennzeichnen und getrennt von gefüllten Druckgasflaschen zu lagern.</w:t>
            </w:r>
          </w:p>
          <w:p w:rsidR="008E06CC" w:rsidRPr="007F251F" w:rsidRDefault="008E06CC" w:rsidP="007F251F">
            <w:pPr>
              <w:rPr>
                <w:sz w:val="20"/>
              </w:rPr>
            </w:pPr>
            <w:r w:rsidRPr="007F251F">
              <w:rPr>
                <w:sz w:val="20"/>
              </w:rPr>
              <w:t>Leihweise zur Verfügung gestellte Druckgasbehälter sind an das Chemikalienlager zurückzugeben.</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RPr="00CB1862" w:rsidTr="00622BA4">
        <w:tc>
          <w:tcPr>
            <w:tcW w:w="5211" w:type="dxa"/>
          </w:tcPr>
          <w:p w:rsidR="000F7AB7" w:rsidRPr="00CB1862" w:rsidRDefault="000F7AB7" w:rsidP="00622BA4">
            <w:pPr>
              <w:rPr>
                <w:rFonts w:cs="Arial"/>
              </w:rPr>
            </w:pPr>
            <w:r w:rsidRPr="00CB1862">
              <w:rPr>
                <w:rFonts w:cs="Arial"/>
              </w:rPr>
              <w:t xml:space="preserve"> </w:t>
            </w:r>
            <w:r w:rsidR="00092FC1" w:rsidRPr="00CB1862">
              <w:rPr>
                <w:rFonts w:cs="Arial"/>
              </w:rPr>
              <w:t xml:space="preserve">                 …………………………….</w:t>
            </w:r>
          </w:p>
          <w:p w:rsidR="000F7AB7" w:rsidRPr="00CB1862" w:rsidRDefault="00092FC1" w:rsidP="00622BA4">
            <w:pPr>
              <w:rPr>
                <w:rFonts w:cs="Arial"/>
              </w:rPr>
            </w:pPr>
            <w:r w:rsidRPr="00CB1862">
              <w:rPr>
                <w:rFonts w:cs="Arial"/>
              </w:rPr>
              <w:t xml:space="preserve">                 Datum</w:t>
            </w:r>
          </w:p>
          <w:p w:rsidR="000F7AB7" w:rsidRPr="00CB1862" w:rsidRDefault="000F7AB7" w:rsidP="00092FC1">
            <w:pPr>
              <w:rPr>
                <w:rFonts w:cs="Arial"/>
              </w:rPr>
            </w:pPr>
            <w:r w:rsidRPr="00CB1862">
              <w:rPr>
                <w:rFonts w:cs="Arial"/>
              </w:rPr>
              <w:t xml:space="preserve"> </w:t>
            </w:r>
          </w:p>
        </w:tc>
        <w:tc>
          <w:tcPr>
            <w:tcW w:w="5701" w:type="dxa"/>
          </w:tcPr>
          <w:p w:rsidR="000F7AB7" w:rsidRPr="00CB1862" w:rsidRDefault="00092FC1" w:rsidP="00622BA4">
            <w:pPr>
              <w:rPr>
                <w:rFonts w:cs="Arial"/>
              </w:rPr>
            </w:pPr>
            <w:r w:rsidRPr="00CB1862">
              <w:rPr>
                <w:rFonts w:cs="Arial"/>
              </w:rPr>
              <w:t xml:space="preserve">             ……………………………………….</w:t>
            </w:r>
          </w:p>
          <w:p w:rsidR="000F7AB7" w:rsidRPr="00CB1862" w:rsidRDefault="00092FC1" w:rsidP="00092FC1">
            <w:pPr>
              <w:rPr>
                <w:rFonts w:cs="Arial"/>
              </w:rPr>
            </w:pPr>
            <w:r w:rsidRPr="00CB1862">
              <w:rPr>
                <w:rFonts w:cs="Arial"/>
              </w:rPr>
              <w:t xml:space="preserve">             </w:t>
            </w:r>
            <w:r w:rsidR="000F7AB7" w:rsidRPr="00CB1862">
              <w:rPr>
                <w:rFonts w:cs="Arial"/>
              </w:rPr>
              <w:t>Unterschrift</w:t>
            </w:r>
            <w:r w:rsidRPr="00CB1862">
              <w:rPr>
                <w:rFonts w:cs="Arial"/>
              </w:rPr>
              <w:t xml:space="preserve"> Verantwortlicher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5CEC62E2"/>
    <w:lvl w:ilvl="0" w:tplc="18582C00">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AC67A2"/>
    <w:multiLevelType w:val="hybridMultilevel"/>
    <w:tmpl w:val="D8F00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7B00AD"/>
    <w:multiLevelType w:val="hybridMultilevel"/>
    <w:tmpl w:val="4D4CC51C"/>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9B73E0A"/>
    <w:multiLevelType w:val="hybridMultilevel"/>
    <w:tmpl w:val="686EE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D033AE6"/>
    <w:multiLevelType w:val="hybridMultilevel"/>
    <w:tmpl w:val="93E2CA4A"/>
    <w:lvl w:ilvl="0" w:tplc="03C63C38">
      <w:start w:val="9"/>
      <w:numFmt w:val="bullet"/>
      <w:lvlText w:val="-"/>
      <w:lvlJc w:val="left"/>
      <w:pPr>
        <w:ind w:left="838" w:hanging="360"/>
      </w:pPr>
      <w:rPr>
        <w:rFonts w:ascii="Univers (W1)" w:eastAsia="Times New Roman" w:hAnsi="Univers (W1)" w:cs="Times New Roman"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9"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20"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1"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83E5A37"/>
    <w:multiLevelType w:val="hybridMultilevel"/>
    <w:tmpl w:val="84B81CE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8"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8315F6"/>
    <w:multiLevelType w:val="hybridMultilevel"/>
    <w:tmpl w:val="861A312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1"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2"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6B652A"/>
    <w:multiLevelType w:val="hybridMultilevel"/>
    <w:tmpl w:val="776859EC"/>
    <w:lvl w:ilvl="0" w:tplc="BD1A2FF6">
      <w:start w:val="9"/>
      <w:numFmt w:val="bullet"/>
      <w:lvlText w:val="-"/>
      <w:lvlJc w:val="left"/>
      <w:pPr>
        <w:ind w:left="934" w:hanging="360"/>
      </w:pPr>
      <w:rPr>
        <w:rFonts w:ascii="Univers (W1)" w:eastAsia="Times New Roman" w:hAnsi="Univers (W1)"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5"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EB6412"/>
    <w:multiLevelType w:val="hybridMultilevel"/>
    <w:tmpl w:val="9AD0CDA0"/>
    <w:lvl w:ilvl="0" w:tplc="3A14784C">
      <w:start w:val="9"/>
      <w:numFmt w:val="bullet"/>
      <w:lvlText w:val="-"/>
      <w:lvlJc w:val="left"/>
      <w:pPr>
        <w:ind w:left="720" w:hanging="360"/>
      </w:pPr>
      <w:rPr>
        <w:rFonts w:ascii="Univers (W1)" w:eastAsia="Times New Roman" w:hAnsi="Univers (W1)"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F22990"/>
    <w:multiLevelType w:val="hybridMultilevel"/>
    <w:tmpl w:val="7F6829E4"/>
    <w:lvl w:ilvl="0" w:tplc="85A449A0">
      <w:start w:val="1"/>
      <w:numFmt w:val="bullet"/>
      <w:lvlText w:val=""/>
      <w:lvlJc w:val="left"/>
      <w:pPr>
        <w:ind w:left="795" w:hanging="360"/>
      </w:pPr>
      <w:rPr>
        <w:rFonts w:ascii="Symbol" w:hAnsi="Symbol" w:hint="default"/>
        <w:sz w:val="20"/>
        <w:szCs w:val="20"/>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num w:numId="1">
    <w:abstractNumId w:val="21"/>
  </w:num>
  <w:num w:numId="2">
    <w:abstractNumId w:val="24"/>
  </w:num>
  <w:num w:numId="3">
    <w:abstractNumId w:val="23"/>
  </w:num>
  <w:num w:numId="4">
    <w:abstractNumId w:val="37"/>
  </w:num>
  <w:num w:numId="5">
    <w:abstractNumId w:val="32"/>
  </w:num>
  <w:num w:numId="6">
    <w:abstractNumId w:val="22"/>
  </w:num>
  <w:num w:numId="7">
    <w:abstractNumId w:val="14"/>
  </w:num>
  <w:num w:numId="8">
    <w:abstractNumId w:val="25"/>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5"/>
  </w:num>
  <w:num w:numId="25">
    <w:abstractNumId w:val="31"/>
  </w:num>
  <w:num w:numId="26">
    <w:abstractNumId w:val="10"/>
  </w:num>
  <w:num w:numId="27">
    <w:abstractNumId w:val="33"/>
  </w:num>
  <w:num w:numId="28">
    <w:abstractNumId w:val="12"/>
  </w:num>
  <w:num w:numId="29">
    <w:abstractNumId w:val="20"/>
  </w:num>
  <w:num w:numId="30">
    <w:abstractNumId w:val="35"/>
  </w:num>
  <w:num w:numId="31">
    <w:abstractNumId w:val="36"/>
  </w:num>
  <w:num w:numId="32">
    <w:abstractNumId w:val="27"/>
  </w:num>
  <w:num w:numId="33">
    <w:abstractNumId w:val="34"/>
  </w:num>
  <w:num w:numId="34">
    <w:abstractNumId w:val="13"/>
  </w:num>
  <w:num w:numId="35">
    <w:abstractNumId w:val="18"/>
  </w:num>
  <w:num w:numId="36">
    <w:abstractNumId w:val="30"/>
  </w:num>
  <w:num w:numId="37">
    <w:abstractNumId w:val="38"/>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778E"/>
    <w:rsid w:val="000237E9"/>
    <w:rsid w:val="00034E8C"/>
    <w:rsid w:val="00092FC1"/>
    <w:rsid w:val="000D3B37"/>
    <w:rsid w:val="000F7AB7"/>
    <w:rsid w:val="00134F75"/>
    <w:rsid w:val="002061CF"/>
    <w:rsid w:val="0021497F"/>
    <w:rsid w:val="0029530E"/>
    <w:rsid w:val="002C013C"/>
    <w:rsid w:val="002D2934"/>
    <w:rsid w:val="00375AB9"/>
    <w:rsid w:val="003C4C23"/>
    <w:rsid w:val="003C5550"/>
    <w:rsid w:val="003D3A38"/>
    <w:rsid w:val="004F24BB"/>
    <w:rsid w:val="00521380"/>
    <w:rsid w:val="00552D5E"/>
    <w:rsid w:val="00564B28"/>
    <w:rsid w:val="005B1F43"/>
    <w:rsid w:val="00657F7F"/>
    <w:rsid w:val="0067213D"/>
    <w:rsid w:val="00690F93"/>
    <w:rsid w:val="006979B2"/>
    <w:rsid w:val="006A2E91"/>
    <w:rsid w:val="00714180"/>
    <w:rsid w:val="007F251F"/>
    <w:rsid w:val="0085650F"/>
    <w:rsid w:val="008E06CC"/>
    <w:rsid w:val="009126E0"/>
    <w:rsid w:val="009134F5"/>
    <w:rsid w:val="00914AE4"/>
    <w:rsid w:val="00932A9A"/>
    <w:rsid w:val="009C1DD6"/>
    <w:rsid w:val="009D46AE"/>
    <w:rsid w:val="009D4A54"/>
    <w:rsid w:val="00A177F1"/>
    <w:rsid w:val="00AB0BCC"/>
    <w:rsid w:val="00BF5744"/>
    <w:rsid w:val="00C531FB"/>
    <w:rsid w:val="00C83821"/>
    <w:rsid w:val="00CB1862"/>
    <w:rsid w:val="00D97576"/>
    <w:rsid w:val="00DC5601"/>
    <w:rsid w:val="00E14BD8"/>
    <w:rsid w:val="00E51ABB"/>
    <w:rsid w:val="00F54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F384F"/>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ListParagraph">
    <w:name w:val="List Paragraph"/>
    <w:basedOn w:val="Normal"/>
    <w:uiPriority w:val="34"/>
    <w:qFormat/>
    <w:rsid w:val="00BF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0.tif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2577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 </vt:lpstr>
    </vt:vector>
  </TitlesOfParts>
  <Company>Steinbruchs-BG</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17</cp:revision>
  <cp:lastPrinted>2017-03-01T13:17:00Z</cp:lastPrinted>
  <dcterms:created xsi:type="dcterms:W3CDTF">2017-03-01T13:18:00Z</dcterms:created>
  <dcterms:modified xsi:type="dcterms:W3CDTF">2017-05-02T11:54:00Z</dcterms:modified>
</cp:coreProperties>
</file>