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7138"/>
        <w:gridCol w:w="7139"/>
      </w:tblGrid>
      <w:tr w:rsidR="00013F5F" w:rsidRPr="00013F5F" w14:paraId="3F45DD55" w14:textId="77777777" w:rsidTr="00013F5F">
        <w:tc>
          <w:tcPr>
            <w:tcW w:w="7138" w:type="dxa"/>
          </w:tcPr>
          <w:p w14:paraId="61688DCB" w14:textId="77777777" w:rsidR="00013F5F" w:rsidRPr="00113279" w:rsidRDefault="00013F5F" w:rsidP="00013F5F">
            <w:pPr>
              <w:rPr>
                <w:b/>
                <w:bCs/>
                <w:sz w:val="28"/>
                <w:szCs w:val="28"/>
              </w:rPr>
            </w:pPr>
            <w:r w:rsidRPr="00113279">
              <w:rPr>
                <w:b/>
                <w:bCs/>
                <w:sz w:val="28"/>
                <w:szCs w:val="28"/>
              </w:rPr>
              <w:t>Grundzüge der altägyptischen Geschichte</w:t>
            </w:r>
          </w:p>
          <w:p w14:paraId="48D25DEB" w14:textId="77777777" w:rsidR="00013F5F" w:rsidRDefault="00013F5F"/>
          <w:p w14:paraId="5F3E0224" w14:textId="6422EC92" w:rsidR="00013F5F" w:rsidRPr="00013F5F" w:rsidRDefault="00013F5F" w:rsidP="00013F5F">
            <w:p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25.10.2021</w:t>
            </w:r>
          </w:p>
          <w:p w14:paraId="2ADA9527" w14:textId="7615760D" w:rsidR="00013F5F" w:rsidRDefault="00013F5F" w:rsidP="00013F5F">
            <w:pPr>
              <w:rPr>
                <w:sz w:val="24"/>
                <w:szCs w:val="24"/>
              </w:rPr>
            </w:pPr>
          </w:p>
          <w:p w14:paraId="305EC503" w14:textId="77777777" w:rsidR="00013F5F" w:rsidRPr="00013F5F" w:rsidRDefault="00013F5F" w:rsidP="00013F5F">
            <w:pPr>
              <w:rPr>
                <w:sz w:val="24"/>
                <w:szCs w:val="24"/>
              </w:rPr>
            </w:pPr>
          </w:p>
          <w:p w14:paraId="68E50B0C" w14:textId="77777777" w:rsidR="00013F5F" w:rsidRPr="00013F5F" w:rsidRDefault="00013F5F" w:rsidP="00013F5F">
            <w:pPr>
              <w:rPr>
                <w:sz w:val="24"/>
                <w:szCs w:val="24"/>
                <w:u w:val="single"/>
              </w:rPr>
            </w:pPr>
            <w:r w:rsidRPr="00013F5F">
              <w:rPr>
                <w:sz w:val="24"/>
                <w:szCs w:val="24"/>
                <w:u w:val="single"/>
              </w:rPr>
              <w:t>Ägyptologie als wissenschaftliche Disziplin</w:t>
            </w:r>
          </w:p>
          <w:p w14:paraId="35E5C1BF" w14:textId="3EB8DA55" w:rsidR="00013F5F" w:rsidRPr="00013F5F" w:rsidRDefault="00013F5F" w:rsidP="00013F5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Was ist eine Quelle</w:t>
            </w:r>
            <w:r>
              <w:rPr>
                <w:sz w:val="24"/>
                <w:szCs w:val="24"/>
              </w:rPr>
              <w:t>?</w:t>
            </w:r>
          </w:p>
          <w:p w14:paraId="4A4695ED" w14:textId="77777777" w:rsidR="00013F5F" w:rsidRPr="00013F5F" w:rsidRDefault="00013F5F" w:rsidP="00013F5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Quellen in ägyptischer Sprache</w:t>
            </w:r>
          </w:p>
          <w:p w14:paraId="10F28143" w14:textId="77777777" w:rsidR="00013F5F" w:rsidRPr="00013F5F" w:rsidRDefault="00013F5F" w:rsidP="00013F5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Quellen anderssprachiger Autoren</w:t>
            </w:r>
          </w:p>
          <w:p w14:paraId="4255AADA" w14:textId="77777777" w:rsidR="00013F5F" w:rsidRPr="00013F5F" w:rsidRDefault="00013F5F" w:rsidP="00013F5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Nicht-schriftliche Quellen</w:t>
            </w:r>
          </w:p>
          <w:p w14:paraId="6B8839EB" w14:textId="77777777" w:rsidR="00013F5F" w:rsidRPr="00013F5F" w:rsidRDefault="00013F5F" w:rsidP="00013F5F">
            <w:pPr>
              <w:pStyle w:val="Listenabsatz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Quellenkritik</w:t>
            </w:r>
          </w:p>
          <w:p w14:paraId="631E1C5C" w14:textId="77777777" w:rsidR="00013F5F" w:rsidRPr="00013F5F" w:rsidRDefault="00013F5F">
            <w:pPr>
              <w:rPr>
                <w:sz w:val="24"/>
                <w:szCs w:val="24"/>
              </w:rPr>
            </w:pPr>
          </w:p>
          <w:p w14:paraId="1E31A7FE" w14:textId="77777777" w:rsidR="00013F5F" w:rsidRDefault="00013F5F" w:rsidP="00013F5F">
            <w:pPr>
              <w:rPr>
                <w:sz w:val="24"/>
                <w:szCs w:val="24"/>
                <w:u w:val="single"/>
                <w:lang w:val="fr-FR"/>
              </w:rPr>
            </w:pPr>
          </w:p>
          <w:p w14:paraId="45A9A89B" w14:textId="549CCB57" w:rsidR="00013F5F" w:rsidRPr="00113279" w:rsidRDefault="00013F5F" w:rsidP="00013F5F">
            <w:pPr>
              <w:rPr>
                <w:sz w:val="24"/>
                <w:szCs w:val="24"/>
                <w:u w:val="single"/>
                <w:lang w:val="fr-FR"/>
              </w:rPr>
            </w:pPr>
            <w:proofErr w:type="spellStart"/>
            <w:r w:rsidRPr="00113279">
              <w:rPr>
                <w:sz w:val="24"/>
                <w:szCs w:val="24"/>
                <w:u w:val="single"/>
                <w:lang w:val="fr-FR"/>
              </w:rPr>
              <w:t>Literatur</w:t>
            </w:r>
            <w:proofErr w:type="spellEnd"/>
          </w:p>
          <w:p w14:paraId="18B6169B" w14:textId="77777777" w:rsidR="00013F5F" w:rsidRPr="00113279" w:rsidRDefault="00013F5F" w:rsidP="00013F5F">
            <w:pPr>
              <w:rPr>
                <w:sz w:val="24"/>
                <w:szCs w:val="24"/>
              </w:rPr>
            </w:pPr>
            <w:proofErr w:type="spellStart"/>
            <w:r w:rsidRPr="00113279">
              <w:rPr>
                <w:sz w:val="24"/>
                <w:szCs w:val="24"/>
                <w:lang w:val="fr-FR"/>
              </w:rPr>
              <w:t>Agut</w:t>
            </w:r>
            <w:proofErr w:type="spellEnd"/>
            <w:r w:rsidRPr="00113279">
              <w:rPr>
                <w:sz w:val="24"/>
                <w:szCs w:val="24"/>
                <w:lang w:val="fr-FR"/>
              </w:rPr>
              <w:t xml:space="preserve">, D./ Moreno-Garcia, </w:t>
            </w:r>
            <w:proofErr w:type="gramStart"/>
            <w:r w:rsidRPr="00113279">
              <w:rPr>
                <w:sz w:val="24"/>
                <w:szCs w:val="24"/>
                <w:lang w:val="fr-FR"/>
              </w:rPr>
              <w:t>J.C.;</w:t>
            </w:r>
            <w:proofErr w:type="gramEnd"/>
            <w:r w:rsidRPr="00113279">
              <w:rPr>
                <w:sz w:val="24"/>
                <w:szCs w:val="24"/>
                <w:lang w:val="fr-FR"/>
              </w:rPr>
              <w:t xml:space="preserve"> L‘Égypte des pharaons: De Narmer à Dioclétien.</w:t>
            </w:r>
            <w:r w:rsidRPr="00013F5F">
              <w:rPr>
                <w:sz w:val="24"/>
                <w:szCs w:val="24"/>
                <w:lang w:val="fr-FR"/>
              </w:rPr>
              <w:t xml:space="preserve"> </w:t>
            </w:r>
            <w:r w:rsidRPr="00113279">
              <w:rPr>
                <w:sz w:val="24"/>
                <w:szCs w:val="24"/>
              </w:rPr>
              <w:t>Paris 2016</w:t>
            </w:r>
          </w:p>
          <w:p w14:paraId="1C8DF90D" w14:textId="77777777" w:rsidR="00013F5F" w:rsidRPr="00113279" w:rsidRDefault="00013F5F" w:rsidP="00013F5F">
            <w:pPr>
              <w:rPr>
                <w:sz w:val="24"/>
                <w:szCs w:val="24"/>
                <w:lang w:val="en-GB"/>
              </w:rPr>
            </w:pPr>
            <w:proofErr w:type="spellStart"/>
            <w:r w:rsidRPr="00113279">
              <w:rPr>
                <w:sz w:val="24"/>
                <w:szCs w:val="24"/>
              </w:rPr>
              <w:t>Fitzenreiter</w:t>
            </w:r>
            <w:proofErr w:type="spellEnd"/>
            <w:r w:rsidRPr="00113279">
              <w:rPr>
                <w:sz w:val="24"/>
                <w:szCs w:val="24"/>
              </w:rPr>
              <w:t>, Martin (</w:t>
            </w:r>
            <w:proofErr w:type="spellStart"/>
            <w:r w:rsidRPr="00113279">
              <w:rPr>
                <w:sz w:val="24"/>
                <w:szCs w:val="24"/>
              </w:rPr>
              <w:t>Hrg</w:t>
            </w:r>
            <w:proofErr w:type="spellEnd"/>
            <w:r w:rsidRPr="00113279">
              <w:rPr>
                <w:sz w:val="24"/>
                <w:szCs w:val="24"/>
              </w:rPr>
              <w:t xml:space="preserve">.); Das Ereignis. Geschichtsschreibung zwischen Vorfall und Befund. </w:t>
            </w:r>
            <w:r w:rsidRPr="00113279">
              <w:rPr>
                <w:sz w:val="24"/>
                <w:szCs w:val="24"/>
                <w:lang w:val="en-GB"/>
              </w:rPr>
              <w:t>IBAES 10, 2009</w:t>
            </w:r>
          </w:p>
          <w:p w14:paraId="0D9818CE" w14:textId="77777777" w:rsidR="00013F5F" w:rsidRPr="00113279" w:rsidRDefault="00013F5F" w:rsidP="00013F5F">
            <w:pPr>
              <w:rPr>
                <w:sz w:val="24"/>
                <w:szCs w:val="24"/>
                <w:lang w:val="en-GB"/>
              </w:rPr>
            </w:pPr>
            <w:r w:rsidRPr="00113279">
              <w:rPr>
                <w:sz w:val="24"/>
                <w:szCs w:val="24"/>
                <w:lang w:val="en-GB"/>
              </w:rPr>
              <w:t xml:space="preserve">Kemp, B., Ancient Egypt. Anatomy of a </w:t>
            </w:r>
            <w:proofErr w:type="gramStart"/>
            <w:r w:rsidRPr="00113279">
              <w:rPr>
                <w:sz w:val="24"/>
                <w:szCs w:val="24"/>
                <w:lang w:val="en-GB"/>
              </w:rPr>
              <w:t>Civilization</w:t>
            </w:r>
            <w:r w:rsidRPr="00013F5F">
              <w:rPr>
                <w:sz w:val="24"/>
                <w:szCs w:val="24"/>
                <w:lang w:val="en-GB"/>
              </w:rPr>
              <w:t xml:space="preserve"> ,</w:t>
            </w:r>
            <w:proofErr w:type="gramEnd"/>
            <w:r w:rsidRPr="00013F5F">
              <w:rPr>
                <w:sz w:val="24"/>
                <w:szCs w:val="24"/>
                <w:lang w:val="en-GB"/>
              </w:rPr>
              <w:t xml:space="preserve"> </w:t>
            </w:r>
            <w:r w:rsidRPr="00113279">
              <w:rPr>
                <w:sz w:val="24"/>
                <w:szCs w:val="24"/>
                <w:lang w:val="en-GB"/>
              </w:rPr>
              <w:t>London/New York 1989</w:t>
            </w:r>
          </w:p>
          <w:p w14:paraId="1EFC4957" w14:textId="77777777" w:rsidR="00013F5F" w:rsidRPr="00113279" w:rsidRDefault="00013F5F" w:rsidP="00013F5F">
            <w:pPr>
              <w:rPr>
                <w:sz w:val="24"/>
                <w:szCs w:val="24"/>
              </w:rPr>
            </w:pPr>
            <w:r w:rsidRPr="00113279">
              <w:rPr>
                <w:sz w:val="24"/>
                <w:szCs w:val="24"/>
              </w:rPr>
              <w:t xml:space="preserve">Popko, Lutz, Zum Einfluss des Historikers auf die Historie, in: </w:t>
            </w:r>
            <w:proofErr w:type="spellStart"/>
            <w:r w:rsidRPr="00113279">
              <w:rPr>
                <w:sz w:val="24"/>
                <w:szCs w:val="24"/>
              </w:rPr>
              <w:t>Verbovsek</w:t>
            </w:r>
            <w:proofErr w:type="spellEnd"/>
            <w:r w:rsidRPr="00113279">
              <w:rPr>
                <w:sz w:val="24"/>
                <w:szCs w:val="24"/>
              </w:rPr>
              <w:t xml:space="preserve"> et al., Methodik und Didaktik in der Ägyptologie, 2011, S.649-665</w:t>
            </w:r>
          </w:p>
          <w:p w14:paraId="4F96526A" w14:textId="77777777" w:rsidR="00013F5F" w:rsidRPr="00013F5F" w:rsidRDefault="00013F5F" w:rsidP="00013F5F">
            <w:pPr>
              <w:rPr>
                <w:sz w:val="24"/>
                <w:szCs w:val="24"/>
                <w:lang w:val="en-GB"/>
              </w:rPr>
            </w:pPr>
            <w:r w:rsidRPr="00013F5F">
              <w:rPr>
                <w:sz w:val="24"/>
                <w:szCs w:val="24"/>
                <w:lang w:val="en-GB"/>
              </w:rPr>
              <w:t>Shaw, I. (Hg.), The Oxford History of Ancient Egypt, Oxford 2000</w:t>
            </w:r>
          </w:p>
          <w:p w14:paraId="64646BB7" w14:textId="1E98B32A" w:rsidR="00013F5F" w:rsidRPr="00013F5F" w:rsidRDefault="00013F5F">
            <w:pPr>
              <w:rPr>
                <w:lang w:val="en-GB"/>
              </w:rPr>
            </w:pPr>
          </w:p>
        </w:tc>
        <w:tc>
          <w:tcPr>
            <w:tcW w:w="7139" w:type="dxa"/>
          </w:tcPr>
          <w:p w14:paraId="36D0D365" w14:textId="4308ED5C" w:rsidR="00013F5F" w:rsidRDefault="00013F5F" w:rsidP="00013F5F">
            <w:pPr>
              <w:rPr>
                <w:sz w:val="24"/>
                <w:szCs w:val="24"/>
                <w:u w:val="single"/>
              </w:rPr>
            </w:pPr>
            <w:r w:rsidRPr="00013F5F">
              <w:rPr>
                <w:sz w:val="24"/>
                <w:szCs w:val="24"/>
                <w:u w:val="single"/>
              </w:rPr>
              <w:t>Hilfsmittel zur Erstellung a</w:t>
            </w:r>
            <w:r w:rsidRPr="00013F5F">
              <w:rPr>
                <w:sz w:val="24"/>
                <w:szCs w:val="24"/>
                <w:u w:val="single"/>
              </w:rPr>
              <w:t>ltägyptische</w:t>
            </w:r>
            <w:r w:rsidRPr="00013F5F">
              <w:rPr>
                <w:sz w:val="24"/>
                <w:szCs w:val="24"/>
                <w:u w:val="single"/>
              </w:rPr>
              <w:t>r</w:t>
            </w:r>
            <w:r w:rsidRPr="00013F5F">
              <w:rPr>
                <w:sz w:val="24"/>
                <w:szCs w:val="24"/>
                <w:u w:val="single"/>
              </w:rPr>
              <w:t xml:space="preserve"> Chronologie</w:t>
            </w:r>
            <w:r w:rsidRPr="00013F5F">
              <w:rPr>
                <w:sz w:val="24"/>
                <w:szCs w:val="24"/>
                <w:u w:val="single"/>
              </w:rPr>
              <w:t>n</w:t>
            </w:r>
          </w:p>
          <w:p w14:paraId="4886C40E" w14:textId="77777777" w:rsidR="00013F5F" w:rsidRPr="00013F5F" w:rsidRDefault="00013F5F" w:rsidP="00013F5F">
            <w:pPr>
              <w:rPr>
                <w:sz w:val="24"/>
                <w:szCs w:val="24"/>
                <w:u w:val="single"/>
              </w:rPr>
            </w:pPr>
          </w:p>
          <w:p w14:paraId="22897BAF" w14:textId="77777777" w:rsidR="00013F5F" w:rsidRPr="00013F5F" w:rsidRDefault="00013F5F" w:rsidP="00013F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Königslisten (Turiner Königspapyrus, Palermo-Stein,</w:t>
            </w:r>
          </w:p>
          <w:p w14:paraId="2F149D6D" w14:textId="78F02661" w:rsidR="00013F5F" w:rsidRDefault="00013F5F" w:rsidP="00013F5F">
            <w:p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Königliche Ahnentafeln auf Tempelwänden)</w:t>
            </w:r>
          </w:p>
          <w:p w14:paraId="2FFD465C" w14:textId="77777777" w:rsidR="00013F5F" w:rsidRDefault="00013F5F" w:rsidP="00013F5F">
            <w:pPr>
              <w:rPr>
                <w:sz w:val="24"/>
                <w:szCs w:val="24"/>
              </w:rPr>
            </w:pPr>
          </w:p>
          <w:p w14:paraId="7D3900F3" w14:textId="720E7111" w:rsidR="00013F5F" w:rsidRPr="00013F5F" w:rsidRDefault="00013F5F" w:rsidP="00013F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Biographische Inschriften und Genealogien von Privatleuten</w:t>
            </w:r>
          </w:p>
          <w:p w14:paraId="0EE65D4C" w14:textId="77777777" w:rsidR="00013F5F" w:rsidRPr="00013F5F" w:rsidRDefault="00013F5F" w:rsidP="00013F5F">
            <w:pPr>
              <w:rPr>
                <w:sz w:val="24"/>
                <w:szCs w:val="24"/>
              </w:rPr>
            </w:pPr>
          </w:p>
          <w:p w14:paraId="2DBA0990" w14:textId="6A52F65D" w:rsidR="00013F5F" w:rsidRPr="00013F5F" w:rsidRDefault="00013F5F" w:rsidP="00013F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Synchronismen (persische, assyrische und babylonische Annalen, Bibel,</w:t>
            </w:r>
            <w:r>
              <w:rPr>
                <w:sz w:val="24"/>
                <w:szCs w:val="24"/>
              </w:rPr>
              <w:t xml:space="preserve"> </w:t>
            </w:r>
            <w:r w:rsidRPr="00013F5F">
              <w:rPr>
                <w:sz w:val="24"/>
                <w:szCs w:val="24"/>
              </w:rPr>
              <w:t>griechische Geschichte)</w:t>
            </w:r>
          </w:p>
          <w:p w14:paraId="550DAE35" w14:textId="77777777" w:rsidR="00013F5F" w:rsidRPr="00013F5F" w:rsidRDefault="00013F5F" w:rsidP="00013F5F">
            <w:pPr>
              <w:rPr>
                <w:sz w:val="24"/>
                <w:szCs w:val="24"/>
              </w:rPr>
            </w:pPr>
          </w:p>
          <w:p w14:paraId="08E0F961" w14:textId="3035EEB2" w:rsidR="00013F5F" w:rsidRPr="00013F5F" w:rsidRDefault="00013F5F" w:rsidP="00013F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proofErr w:type="spellStart"/>
            <w:r w:rsidRPr="00013F5F">
              <w:rPr>
                <w:sz w:val="24"/>
                <w:szCs w:val="24"/>
              </w:rPr>
              <w:t>Manetho</w:t>
            </w:r>
            <w:proofErr w:type="spellEnd"/>
            <w:r w:rsidRPr="00013F5F">
              <w:rPr>
                <w:sz w:val="24"/>
                <w:szCs w:val="24"/>
              </w:rPr>
              <w:t xml:space="preserve"> (Africanus, Eusebius)</w:t>
            </w:r>
          </w:p>
          <w:p w14:paraId="39CBB4B6" w14:textId="77777777" w:rsidR="00013F5F" w:rsidRPr="00013F5F" w:rsidRDefault="00013F5F" w:rsidP="00013F5F">
            <w:pPr>
              <w:rPr>
                <w:sz w:val="24"/>
                <w:szCs w:val="24"/>
              </w:rPr>
            </w:pPr>
          </w:p>
          <w:p w14:paraId="56E085FA" w14:textId="2A1CD613" w:rsidR="00013F5F" w:rsidRPr="00013F5F" w:rsidRDefault="00013F5F" w:rsidP="00013F5F">
            <w:pPr>
              <w:pStyle w:val="Listenabsatz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013F5F">
              <w:rPr>
                <w:sz w:val="24"/>
                <w:szCs w:val="24"/>
              </w:rPr>
              <w:t>Astronomie (Dokumentation von Sonnen-/ Mondfinsternissen</w:t>
            </w:r>
          </w:p>
          <w:p w14:paraId="7E80BC2E" w14:textId="28CC8DA1" w:rsidR="00013F5F" w:rsidRPr="00013F5F" w:rsidRDefault="00013F5F" w:rsidP="00013F5F">
            <w:pPr>
              <w:rPr>
                <w:sz w:val="24"/>
                <w:szCs w:val="24"/>
              </w:rPr>
            </w:pPr>
            <w:proofErr w:type="spellStart"/>
            <w:r w:rsidRPr="00013F5F">
              <w:rPr>
                <w:sz w:val="24"/>
                <w:szCs w:val="24"/>
              </w:rPr>
              <w:t>Sothisaufgänge</w:t>
            </w:r>
            <w:proofErr w:type="spellEnd"/>
            <w:r w:rsidRPr="00013F5F">
              <w:rPr>
                <w:sz w:val="24"/>
                <w:szCs w:val="24"/>
              </w:rPr>
              <w:t>, Monddaten</w:t>
            </w:r>
            <w:r>
              <w:rPr>
                <w:sz w:val="24"/>
                <w:szCs w:val="24"/>
              </w:rPr>
              <w:t>)</w:t>
            </w:r>
          </w:p>
          <w:p w14:paraId="4A955F81" w14:textId="77777777" w:rsidR="00013F5F" w:rsidRDefault="00013F5F" w:rsidP="00013F5F">
            <w:pPr>
              <w:rPr>
                <w:sz w:val="24"/>
                <w:szCs w:val="24"/>
                <w:lang w:val="en-GB"/>
              </w:rPr>
            </w:pPr>
          </w:p>
          <w:p w14:paraId="5D8D939E" w14:textId="7DD76046" w:rsidR="00013F5F" w:rsidRPr="00013F5F" w:rsidRDefault="00013F5F" w:rsidP="00013F5F">
            <w:pPr>
              <w:pStyle w:val="Listenabsatz"/>
              <w:numPr>
                <w:ilvl w:val="0"/>
                <w:numId w:val="3"/>
              </w:numPr>
              <w:rPr>
                <w:sz w:val="24"/>
                <w:szCs w:val="24"/>
                <w:lang w:val="en-GB"/>
              </w:rPr>
            </w:pPr>
            <w:r w:rsidRPr="00013F5F">
              <w:rPr>
                <w:sz w:val="24"/>
                <w:szCs w:val="24"/>
                <w:lang w:val="en-GB"/>
              </w:rPr>
              <w:t>Serapeum-</w:t>
            </w:r>
            <w:proofErr w:type="spellStart"/>
            <w:r w:rsidRPr="00013F5F">
              <w:rPr>
                <w:sz w:val="24"/>
                <w:szCs w:val="24"/>
                <w:lang w:val="en-GB"/>
              </w:rPr>
              <w:t>Stelen</w:t>
            </w:r>
            <w:proofErr w:type="spellEnd"/>
          </w:p>
          <w:p w14:paraId="37E5F76E" w14:textId="77777777" w:rsidR="00013F5F" w:rsidRPr="00013F5F" w:rsidRDefault="00013F5F" w:rsidP="00013F5F">
            <w:pPr>
              <w:rPr>
                <w:sz w:val="24"/>
                <w:szCs w:val="24"/>
                <w:lang w:val="en-GB"/>
              </w:rPr>
            </w:pPr>
          </w:p>
          <w:p w14:paraId="3FA9A4B1" w14:textId="77777777" w:rsidR="00013F5F" w:rsidRPr="00013F5F" w:rsidRDefault="00013F5F" w:rsidP="00013F5F">
            <w:pPr>
              <w:rPr>
                <w:sz w:val="24"/>
                <w:szCs w:val="24"/>
                <w:lang w:val="en-GB"/>
              </w:rPr>
            </w:pPr>
          </w:p>
          <w:p w14:paraId="701FE655" w14:textId="08B8F23F" w:rsidR="00013F5F" w:rsidRPr="00013F5F" w:rsidRDefault="00013F5F" w:rsidP="00013F5F">
            <w:pPr>
              <w:rPr>
                <w:sz w:val="24"/>
                <w:szCs w:val="24"/>
                <w:lang w:val="en-GB"/>
              </w:rPr>
            </w:pPr>
            <w:proofErr w:type="spellStart"/>
            <w:r w:rsidRPr="00013F5F">
              <w:rPr>
                <w:sz w:val="24"/>
                <w:szCs w:val="24"/>
                <w:lang w:val="en-GB"/>
              </w:rPr>
              <w:t>Literatur</w:t>
            </w:r>
            <w:proofErr w:type="spellEnd"/>
          </w:p>
          <w:p w14:paraId="12D448C3" w14:textId="77777777" w:rsidR="00013F5F" w:rsidRPr="00113279" w:rsidRDefault="00013F5F" w:rsidP="00013F5F">
            <w:pPr>
              <w:rPr>
                <w:sz w:val="24"/>
                <w:szCs w:val="24"/>
              </w:rPr>
            </w:pPr>
            <w:r w:rsidRPr="00113279">
              <w:rPr>
                <w:sz w:val="24"/>
                <w:szCs w:val="24"/>
              </w:rPr>
              <w:t>Beckerath, J. v., Chronologie des pharaonischen Ägypten. Die Zeitbestimmung der ägyptischen Geschichte von der Vorzeit bis 332 v. Chr. MÄS 46</w:t>
            </w:r>
            <w:r w:rsidRPr="00013F5F">
              <w:rPr>
                <w:sz w:val="24"/>
                <w:szCs w:val="24"/>
              </w:rPr>
              <w:t xml:space="preserve">, </w:t>
            </w:r>
            <w:r w:rsidRPr="00113279">
              <w:rPr>
                <w:sz w:val="24"/>
                <w:szCs w:val="24"/>
              </w:rPr>
              <w:t>Mainz 1997</w:t>
            </w:r>
          </w:p>
          <w:p w14:paraId="74F81A4F" w14:textId="77777777" w:rsidR="00013F5F" w:rsidRPr="00113279" w:rsidRDefault="00013F5F" w:rsidP="00013F5F">
            <w:pPr>
              <w:rPr>
                <w:sz w:val="24"/>
                <w:szCs w:val="24"/>
              </w:rPr>
            </w:pPr>
            <w:proofErr w:type="spellStart"/>
            <w:r w:rsidRPr="00113279">
              <w:rPr>
                <w:sz w:val="24"/>
                <w:szCs w:val="24"/>
              </w:rPr>
              <w:t>Fitzenreiter</w:t>
            </w:r>
            <w:proofErr w:type="spellEnd"/>
            <w:r w:rsidRPr="00113279">
              <w:rPr>
                <w:sz w:val="24"/>
                <w:szCs w:val="24"/>
              </w:rPr>
              <w:t>, Martin (</w:t>
            </w:r>
            <w:proofErr w:type="spellStart"/>
            <w:r w:rsidRPr="00113279">
              <w:rPr>
                <w:sz w:val="24"/>
                <w:szCs w:val="24"/>
              </w:rPr>
              <w:t>Hrg</w:t>
            </w:r>
            <w:proofErr w:type="spellEnd"/>
            <w:r w:rsidRPr="00113279">
              <w:rPr>
                <w:sz w:val="24"/>
                <w:szCs w:val="24"/>
              </w:rPr>
              <w:t>.), Genealogien – Realität und Fiktion von Identität, IBAES 5, 2005</w:t>
            </w:r>
          </w:p>
          <w:p w14:paraId="6D162EC0" w14:textId="77777777" w:rsidR="00013F5F" w:rsidRPr="00113279" w:rsidRDefault="00013F5F" w:rsidP="00013F5F">
            <w:pPr>
              <w:rPr>
                <w:sz w:val="24"/>
                <w:szCs w:val="24"/>
              </w:rPr>
            </w:pPr>
            <w:r w:rsidRPr="00113279">
              <w:rPr>
                <w:sz w:val="24"/>
                <w:szCs w:val="24"/>
              </w:rPr>
              <w:t xml:space="preserve">Jansen-Winkeln, Die Entwicklung der genealogischen Informationen nach dem Neuen Reich, in: </w:t>
            </w:r>
            <w:proofErr w:type="spellStart"/>
            <w:r w:rsidRPr="00113279">
              <w:rPr>
                <w:sz w:val="24"/>
                <w:szCs w:val="24"/>
              </w:rPr>
              <w:t>Fitzenreiter</w:t>
            </w:r>
            <w:proofErr w:type="spellEnd"/>
            <w:r w:rsidRPr="00113279">
              <w:rPr>
                <w:sz w:val="24"/>
                <w:szCs w:val="24"/>
              </w:rPr>
              <w:t xml:space="preserve"> (</w:t>
            </w:r>
            <w:proofErr w:type="spellStart"/>
            <w:r w:rsidRPr="00113279">
              <w:rPr>
                <w:sz w:val="24"/>
                <w:szCs w:val="24"/>
              </w:rPr>
              <w:t>Hrg</w:t>
            </w:r>
            <w:proofErr w:type="spellEnd"/>
            <w:r w:rsidRPr="00113279">
              <w:rPr>
                <w:sz w:val="24"/>
                <w:szCs w:val="24"/>
              </w:rPr>
              <w:t>.), Genealogien, S.137ff</w:t>
            </w:r>
          </w:p>
          <w:p w14:paraId="070C64E1" w14:textId="77777777" w:rsidR="00013F5F" w:rsidRPr="00013F5F" w:rsidRDefault="00013F5F" w:rsidP="00013F5F">
            <w:pPr>
              <w:rPr>
                <w:sz w:val="24"/>
                <w:szCs w:val="24"/>
                <w:lang w:val="en-GB"/>
              </w:rPr>
            </w:pPr>
            <w:r w:rsidRPr="00013F5F">
              <w:rPr>
                <w:sz w:val="24"/>
                <w:szCs w:val="24"/>
                <w:lang w:val="en-GB"/>
              </w:rPr>
              <w:t xml:space="preserve">Redford, D. B., Pharaonic King-Lists, Annals and </w:t>
            </w:r>
            <w:proofErr w:type="gramStart"/>
            <w:r w:rsidRPr="00013F5F">
              <w:rPr>
                <w:sz w:val="24"/>
                <w:szCs w:val="24"/>
                <w:lang w:val="en-GB"/>
              </w:rPr>
              <w:t>Day-Books</w:t>
            </w:r>
            <w:proofErr w:type="gramEnd"/>
            <w:r w:rsidRPr="00013F5F">
              <w:rPr>
                <w:sz w:val="24"/>
                <w:szCs w:val="24"/>
                <w:lang w:val="en-GB"/>
              </w:rPr>
              <w:t>. A Contribution to the Study of the Egyptian Sense of History, Mississauga 1986</w:t>
            </w:r>
          </w:p>
          <w:p w14:paraId="7B852E15" w14:textId="77777777" w:rsidR="00013F5F" w:rsidRPr="00013F5F" w:rsidRDefault="00013F5F">
            <w:pPr>
              <w:rPr>
                <w:lang w:val="en-GB"/>
              </w:rPr>
            </w:pPr>
          </w:p>
        </w:tc>
      </w:tr>
    </w:tbl>
    <w:p w14:paraId="7F9492F6" w14:textId="77777777" w:rsidR="008D46FA" w:rsidRPr="00013F5F" w:rsidRDefault="008D46FA">
      <w:pPr>
        <w:rPr>
          <w:lang w:val="en-GB"/>
        </w:rPr>
      </w:pPr>
    </w:p>
    <w:sectPr w:rsidR="008D46FA" w:rsidRPr="00013F5F" w:rsidSect="00013F5F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51452F"/>
    <w:multiLevelType w:val="hybridMultilevel"/>
    <w:tmpl w:val="5E9889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32BF3"/>
    <w:multiLevelType w:val="hybridMultilevel"/>
    <w:tmpl w:val="68C6F3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C75F9"/>
    <w:multiLevelType w:val="hybridMultilevel"/>
    <w:tmpl w:val="2670EF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F5F"/>
    <w:rsid w:val="00013F5F"/>
    <w:rsid w:val="008D4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16D07"/>
  <w15:chartTrackingRefBased/>
  <w15:docId w15:val="{590DBD6D-6D98-4A8F-9D9A-BA7F8EB52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13F5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13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13F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Carola</dc:creator>
  <cp:keywords/>
  <dc:description/>
  <cp:lastModifiedBy>Carola</cp:lastModifiedBy>
  <cp:revision>1</cp:revision>
  <dcterms:created xsi:type="dcterms:W3CDTF">2021-10-25T08:58:00Z</dcterms:created>
  <dcterms:modified xsi:type="dcterms:W3CDTF">2021-10-25T09:05:00Z</dcterms:modified>
</cp:coreProperties>
</file>