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4A" w:rsidRPr="00F861BE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</w:pP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Grundzüge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der </w:t>
      </w:r>
      <w:r w:rsidRPr="00F861BE">
        <w:rPr>
          <w:rFonts w:asciiTheme="minorHAnsi" w:eastAsiaTheme="minorEastAsia" w:hAnsiTheme="minorHAnsi" w:cstheme="minorHAnsi"/>
          <w:b/>
          <w:color w:val="000000" w:themeColor="text1"/>
          <w:kern w:val="24"/>
          <w:sz w:val="36"/>
          <w:szCs w:val="36"/>
        </w:rPr>
        <w:t>altägyptischen</w:t>
      </w:r>
      <w:r w:rsidRPr="00F861BE">
        <w:rPr>
          <w:rFonts w:asciiTheme="minorHAnsi" w:eastAsiaTheme="minorEastAsia" w:hAnsi="Century Gothic" w:cstheme="minorBidi"/>
          <w:b/>
          <w:color w:val="000000" w:themeColor="text1"/>
          <w:kern w:val="24"/>
          <w:sz w:val="36"/>
          <w:szCs w:val="36"/>
        </w:rPr>
        <w:t xml:space="preserve"> Geschichte</w:t>
      </w:r>
    </w:p>
    <w:p w:rsid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24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.01.2022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ab/>
      </w:r>
    </w:p>
    <w:p w:rsid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Das Neue Reich nach Amarna</w:t>
      </w:r>
    </w:p>
    <w:p w:rsid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9117AC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Literatur</w:t>
      </w:r>
    </w:p>
    <w:p w:rsid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proofErr w:type="spellStart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Dodson</w:t>
      </w:r>
      <w:proofErr w:type="spellEnd"/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Aidan, 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Amarna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sunset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: Nefertiti,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Tutankhamun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Ay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Horemheb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and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the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Egyptian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counter-reformation</w:t>
      </w:r>
      <w:r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, 2009</w:t>
      </w:r>
    </w:p>
    <w:p w:rsid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H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ö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veler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-M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ü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ller, Das Gold der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Horusfalken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. Auf den Spuren alt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gyptischer Grabr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uber, 2007</w:t>
      </w: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Jansen-Winkeln, K., Das Ende des Neuen Reiches, in: Z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Ä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S 119, 1992, 22-37</w:t>
      </w: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bookmarkStart w:id="0" w:name="_GoBack"/>
      <w:bookmarkEnd w:id="0"/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Ausstellungskatalog Karlsruhe: Ramses. G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ö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ttlicher Herrscher am Nil. 2016</w:t>
      </w: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</w:pP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Kitchen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, K. A.,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Pharaoh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Triumphant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. 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  <w:t xml:space="preserve">The Life and Times of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  <w:t>Ramesses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  <w:t xml:space="preserve"> II (1982)</w:t>
      </w: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</w:pP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Redford, Egypt, Canaan,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and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Israel in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ancient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times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  <w:t>, 1992</w:t>
      </w: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</w:rPr>
      </w:pPr>
    </w:p>
    <w:p w:rsidR="001D324A" w:rsidRPr="001D324A" w:rsidRDefault="001D324A" w:rsidP="001D324A">
      <w:pPr>
        <w:pStyle w:val="StandardWeb"/>
        <w:spacing w:before="0" w:beforeAutospacing="0" w:after="0" w:afterAutospacing="0"/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</w:pPr>
      <w:proofErr w:type="spellStart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  <w:t>Vernus</w:t>
      </w:r>
      <w:proofErr w:type="spellEnd"/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  <w:t>, Affaires et scandales sous les Rams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  <w:t>è</w:t>
      </w:r>
      <w:r w:rsidRPr="001D324A">
        <w:rPr>
          <w:rFonts w:asciiTheme="minorHAnsi" w:eastAsiaTheme="minorEastAsia" w:hAnsi="Century Gothic" w:cstheme="minorBidi"/>
          <w:color w:val="000000" w:themeColor="text1"/>
          <w:kern w:val="24"/>
          <w:sz w:val="36"/>
          <w:szCs w:val="36"/>
          <w:lang w:val="fr-FR"/>
        </w:rPr>
        <w:t>s, 1993</w:t>
      </w:r>
    </w:p>
    <w:p w:rsidR="00723328" w:rsidRPr="001D324A" w:rsidRDefault="00723328">
      <w:pPr>
        <w:rPr>
          <w:lang w:val="fr-FR"/>
        </w:rPr>
      </w:pPr>
    </w:p>
    <w:sectPr w:rsidR="00723328" w:rsidRPr="001D32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4A"/>
    <w:rsid w:val="001D324A"/>
    <w:rsid w:val="00494512"/>
    <w:rsid w:val="007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EBF7"/>
  <w15:chartTrackingRefBased/>
  <w15:docId w15:val="{1289B6CF-D91F-4A07-B103-E8BCA3F1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D3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Koch</dc:creator>
  <cp:keywords/>
  <dc:description/>
  <cp:lastModifiedBy>Carola Koch</cp:lastModifiedBy>
  <cp:revision>2</cp:revision>
  <dcterms:created xsi:type="dcterms:W3CDTF">2022-01-17T09:06:00Z</dcterms:created>
  <dcterms:modified xsi:type="dcterms:W3CDTF">2022-01-17T09:06:00Z</dcterms:modified>
</cp:coreProperties>
</file>