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903ED" w14:textId="77777777" w:rsidR="00690937" w:rsidRPr="003F0466" w:rsidRDefault="00690937" w:rsidP="00C80F8E">
      <w:pPr>
        <w:contextualSpacing/>
        <w:jc w:val="center"/>
        <w:outlineLvl w:val="0"/>
        <w:rPr>
          <w:b/>
          <w:sz w:val="32"/>
        </w:rPr>
      </w:pPr>
      <w:bookmarkStart w:id="0" w:name="_GoBack"/>
      <w:bookmarkEnd w:id="0"/>
      <w:r w:rsidRPr="00C80F8E">
        <w:rPr>
          <w:b/>
          <w:sz w:val="32"/>
        </w:rPr>
        <w:t xml:space="preserve">Gutium, Gudea von Lagaš und die III. </w:t>
      </w:r>
      <w:r w:rsidRPr="003F0466">
        <w:rPr>
          <w:b/>
          <w:sz w:val="32"/>
        </w:rPr>
        <w:t>Dynastie von Ur</w:t>
      </w:r>
    </w:p>
    <w:p w14:paraId="6D686BDE" w14:textId="77777777" w:rsidR="00690937" w:rsidRPr="003F0466" w:rsidRDefault="00690937" w:rsidP="003C482D">
      <w:pPr>
        <w:contextualSpacing/>
        <w:jc w:val="both"/>
      </w:pPr>
    </w:p>
    <w:p w14:paraId="59FF1C82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Gutäer (Gutium) aus Invasoren aus dem Osten (Hochland von Iran)</w:t>
      </w:r>
    </w:p>
    <w:p w14:paraId="2AF5809E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gelten in der mesopotamischen Tradition als Verursacher des Falles der Dynastie von Agade</w:t>
      </w:r>
    </w:p>
    <w:p w14:paraId="2753FBA0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Instrument göttlicher Strafe gegenüber der Hybris von Narām-Sîn</w:t>
      </w:r>
    </w:p>
    <w:p w14:paraId="5BE8F4E0" w14:textId="77777777" w:rsidR="00690937" w:rsidRDefault="00690937" w:rsidP="003C482D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690937">
        <w:rPr>
          <w:lang w:val="en-US"/>
        </w:rPr>
        <w:t>archetypische unzivilisierte Barbaren</w:t>
      </w:r>
    </w:p>
    <w:p w14:paraId="130727B8" w14:textId="77777777" w:rsidR="00690937" w:rsidRDefault="00690937" w:rsidP="003C482D">
      <w:pPr>
        <w:contextualSpacing/>
        <w:jc w:val="both"/>
        <w:rPr>
          <w:lang w:val="en-US"/>
        </w:rPr>
      </w:pPr>
    </w:p>
    <w:p w14:paraId="148B785E" w14:textId="77777777" w:rsidR="002620EF" w:rsidRPr="00C80F8E" w:rsidRDefault="002620EF" w:rsidP="002620EF">
      <w:pPr>
        <w:pStyle w:val="Listenabsatz"/>
        <w:numPr>
          <w:ilvl w:val="0"/>
          <w:numId w:val="1"/>
        </w:numPr>
        <w:jc w:val="both"/>
      </w:pPr>
      <w:r w:rsidRPr="00C80F8E">
        <w:t xml:space="preserve">Die </w:t>
      </w:r>
      <w:r w:rsidRPr="00C80F8E">
        <w:rPr>
          <w:b/>
          <w:i/>
          <w:u w:val="single"/>
        </w:rPr>
        <w:t>2. Dynastie von Lagaš</w:t>
      </w:r>
      <w:r w:rsidRPr="00C80F8E">
        <w:t>: bedeutendster Repräsentant: Gudea</w:t>
      </w:r>
    </w:p>
    <w:p w14:paraId="45955C4E" w14:textId="77777777" w:rsidR="002620EF" w:rsidRPr="00C80F8E" w:rsidRDefault="002620EF" w:rsidP="002620EF">
      <w:pPr>
        <w:pStyle w:val="Listenabsatz"/>
        <w:numPr>
          <w:ilvl w:val="0"/>
          <w:numId w:val="1"/>
        </w:numPr>
        <w:jc w:val="both"/>
      </w:pPr>
      <w:r w:rsidRPr="00C80F8E">
        <w:t>Datierung: kontrovers; möglicherweise war Gudea Zeitgenosse der ersten Herrscher von Ur III, oder aber seine Regierung endete noch vor der Herrschaft von Urnammu</w:t>
      </w:r>
    </w:p>
    <w:p w14:paraId="0E02F1FB" w14:textId="77777777" w:rsidR="002620EF" w:rsidRPr="00C80F8E" w:rsidRDefault="002620EF" w:rsidP="002620EF">
      <w:pPr>
        <w:pStyle w:val="Listenabsatz"/>
        <w:numPr>
          <w:ilvl w:val="0"/>
          <w:numId w:val="1"/>
        </w:numPr>
        <w:jc w:val="both"/>
      </w:pPr>
      <w:r w:rsidRPr="00C80F8E">
        <w:t>zahllose Inschriften auf Statuen und Ton-Zylindern; großer Bauherr und Verfasser des besten und reinsten Sumerisch, das wir kennen</w:t>
      </w:r>
    </w:p>
    <w:p w14:paraId="2209F544" w14:textId="77777777" w:rsidR="002620EF" w:rsidRPr="00C80F8E" w:rsidRDefault="002620EF" w:rsidP="002620EF">
      <w:pPr>
        <w:jc w:val="both"/>
      </w:pPr>
    </w:p>
    <w:p w14:paraId="7312E553" w14:textId="77777777" w:rsidR="00690937" w:rsidRPr="00C80F8E" w:rsidRDefault="00690937" w:rsidP="002620EF">
      <w:pPr>
        <w:pStyle w:val="Listenabsatz"/>
        <w:numPr>
          <w:ilvl w:val="0"/>
          <w:numId w:val="1"/>
        </w:numPr>
        <w:jc w:val="both"/>
      </w:pPr>
      <w:r w:rsidRPr="00C80F8E">
        <w:t>Gutäer werden besiegt von Utuhengal von Uruk und Urnammu von Ur</w:t>
      </w:r>
    </w:p>
    <w:p w14:paraId="36F4A720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 xml:space="preserve">Urnammu: </w:t>
      </w:r>
      <w:r w:rsidR="00CB76C2" w:rsidRPr="00C80F8E">
        <w:t>Verwandter (</w:t>
      </w:r>
      <w:r w:rsidRPr="00C80F8E">
        <w:t>Bruder</w:t>
      </w:r>
      <w:r w:rsidR="00CB76C2" w:rsidRPr="00C80F8E">
        <w:t>?)</w:t>
      </w:r>
      <w:r w:rsidRPr="00C80F8E">
        <w:t xml:space="preserve"> des Königs Utuhengal von Uruk; begründet die </w:t>
      </w:r>
      <w:r w:rsidRPr="00C80F8E">
        <w:rPr>
          <w:b/>
          <w:i/>
          <w:u w:val="single"/>
        </w:rPr>
        <w:t>3. Dynastie von Ur</w:t>
      </w:r>
      <w:r w:rsidRPr="00C80F8E">
        <w:t xml:space="preserve"> =&gt; Großreich</w:t>
      </w:r>
      <w:r w:rsidR="007A0036" w:rsidRPr="00C80F8E">
        <w:t xml:space="preserve"> mit beachtlichem Verwaltungsapparat =&gt; Zehntausende von Verwaltungsurkunden überliefert</w:t>
      </w:r>
      <w:r w:rsidR="00F71F31" w:rsidRPr="00C80F8E">
        <w:t xml:space="preserve"> (ca. 2111-2003 v. Chr.)</w:t>
      </w:r>
    </w:p>
    <w:p w14:paraId="62BC47C5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Codex Urnammu =&gt; der Herrscher als Gesetzgeber</w:t>
      </w:r>
    </w:p>
    <w:p w14:paraId="6C1A45E7" w14:textId="77777777" w:rsidR="00690937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 xml:space="preserve">Urnammu findet </w:t>
      </w:r>
      <w:r w:rsidR="00A45AB4" w:rsidRPr="00C80F8E">
        <w:t xml:space="preserve">vorzeitig, </w:t>
      </w:r>
      <w:r w:rsidRPr="00C80F8E">
        <w:t>möglicherweise im Kampf gegen die Gutäer</w:t>
      </w:r>
      <w:r w:rsidR="00A45AB4" w:rsidRPr="00C80F8E">
        <w:t>,</w:t>
      </w:r>
      <w:r w:rsidRPr="00C80F8E">
        <w:t xml:space="preserve"> den Tod (Literaturwerk: Urnammu’s Tod)</w:t>
      </w:r>
    </w:p>
    <w:p w14:paraId="46F899FE" w14:textId="77777777" w:rsidR="00B84DF3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bedeutendster Herrscher von Ur III: Šulgi, der Sohn von Urnammu</w:t>
      </w:r>
    </w:p>
    <w:p w14:paraId="4A386E7A" w14:textId="77777777" w:rsidR="00595AF6" w:rsidRPr="00C80F8E" w:rsidRDefault="00E0535E" w:rsidP="003C482D">
      <w:pPr>
        <w:pStyle w:val="Listenabsatz"/>
        <w:numPr>
          <w:ilvl w:val="0"/>
          <w:numId w:val="1"/>
        </w:numPr>
        <w:jc w:val="both"/>
      </w:pPr>
      <w:r w:rsidRPr="00C80F8E">
        <w:t xml:space="preserve">regiert 48 Jahre; </w:t>
      </w:r>
      <w:r w:rsidR="00B84DF3" w:rsidRPr="00C80F8E">
        <w:t>richtet Verwaltungszentrum in Puzriš-Dagan (Drehem) ein (gegenwärtig ca. 12.000 publizie</w:t>
      </w:r>
      <w:r w:rsidR="00BC19CA" w:rsidRPr="00C80F8E">
        <w:t>rte Urkunden aus diesem Fundort)</w:t>
      </w:r>
    </w:p>
    <w:p w14:paraId="71F329EA" w14:textId="77777777" w:rsidR="00BC19CA" w:rsidRPr="00C80F8E" w:rsidRDefault="00595AF6" w:rsidP="003C482D">
      <w:pPr>
        <w:pStyle w:val="Listenabsatz"/>
        <w:numPr>
          <w:ilvl w:val="0"/>
          <w:numId w:val="1"/>
        </w:numPr>
        <w:jc w:val="both"/>
      </w:pPr>
      <w:r w:rsidRPr="00C80F8E">
        <w:t>Vergöttlichung zu Lebzeiten (auch seine Nachfolger)</w:t>
      </w:r>
    </w:p>
    <w:p w14:paraId="189BEFEB" w14:textId="77777777" w:rsidR="00020CF8" w:rsidRDefault="00213258" w:rsidP="003C482D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einheitlicher Reichskalender in staatlichen Institutionen</w:t>
      </w:r>
    </w:p>
    <w:p w14:paraId="314FD23B" w14:textId="77777777" w:rsidR="00690937" w:rsidRPr="00C80F8E" w:rsidRDefault="00020CF8" w:rsidP="003C482D">
      <w:pPr>
        <w:pStyle w:val="Listenabsatz"/>
        <w:numPr>
          <w:ilvl w:val="0"/>
          <w:numId w:val="1"/>
        </w:numPr>
        <w:jc w:val="both"/>
      </w:pPr>
      <w:r w:rsidRPr="00C80F8E">
        <w:t>Heiratspolitik =&gt; diplomatische Hochzeiten (Prinzessinnen werden z.B. nach Marhaši und Anšan im Hochland von Iran verheiratet)</w:t>
      </w:r>
    </w:p>
    <w:p w14:paraId="5E40DC53" w14:textId="77777777" w:rsidR="00690937" w:rsidRPr="00C80F8E" w:rsidRDefault="0017592D" w:rsidP="003C482D">
      <w:pPr>
        <w:pStyle w:val="Listenabsatz"/>
        <w:numPr>
          <w:ilvl w:val="0"/>
          <w:numId w:val="1"/>
        </w:numPr>
        <w:jc w:val="both"/>
      </w:pPr>
      <w:r w:rsidRPr="00C80F8E">
        <w:t>Šulgi’s</w:t>
      </w:r>
      <w:r w:rsidR="00690937" w:rsidRPr="00C80F8E">
        <w:t xml:space="preserve"> Nachfolger: Amar-Suen und Šū-Suen</w:t>
      </w:r>
    </w:p>
    <w:p w14:paraId="79515383" w14:textId="77777777" w:rsidR="0039105C" w:rsidRPr="00C80F8E" w:rsidRDefault="00690937" w:rsidP="003C482D">
      <w:pPr>
        <w:pStyle w:val="Listenabsatz"/>
        <w:numPr>
          <w:ilvl w:val="0"/>
          <w:numId w:val="1"/>
        </w:numPr>
        <w:jc w:val="both"/>
      </w:pPr>
      <w:r w:rsidRPr="00C80F8E">
        <w:t>Ibbi-Suen</w:t>
      </w:r>
      <w:r w:rsidR="0039105C" w:rsidRPr="00C80F8E">
        <w:t>, letzter Herrscher von Ur III</w:t>
      </w:r>
      <w:r w:rsidR="00D259C9" w:rsidRPr="00C80F8E">
        <w:t>, sieht sich mit zahlreichen Problemen in In- und Ausland konfrontiert</w:t>
      </w:r>
    </w:p>
    <w:p w14:paraId="3FFDAFFE" w14:textId="77777777" w:rsidR="00740783" w:rsidRPr="00C80F8E" w:rsidRDefault="000F535A" w:rsidP="003C482D">
      <w:pPr>
        <w:pStyle w:val="Listenabsatz"/>
        <w:numPr>
          <w:ilvl w:val="0"/>
          <w:numId w:val="1"/>
        </w:numPr>
        <w:jc w:val="both"/>
      </w:pPr>
      <w:r w:rsidRPr="00C80F8E">
        <w:t>Amu</w:t>
      </w:r>
      <w:r w:rsidR="0039105C" w:rsidRPr="00C80F8E">
        <w:t>rriter (</w:t>
      </w:r>
      <w:r w:rsidR="00740783" w:rsidRPr="00C80F8E">
        <w:t xml:space="preserve">akk.: Amurru/Amurrû; sum.: </w:t>
      </w:r>
      <w:r w:rsidR="0039105C" w:rsidRPr="00C80F8E">
        <w:t xml:space="preserve">Martu) dringen in das Reich von Ur III ein =&gt; </w:t>
      </w:r>
      <w:r w:rsidR="00D259C9" w:rsidRPr="00C80F8E">
        <w:t xml:space="preserve">bereits </w:t>
      </w:r>
      <w:r w:rsidR="006D1A03" w:rsidRPr="00C80F8E">
        <w:t>Šulgi und Šū-Suen bauen</w:t>
      </w:r>
      <w:r w:rsidR="00D259C9" w:rsidRPr="00C80F8E">
        <w:t xml:space="preserve"> eine Mauer, um sie fern</w:t>
      </w:r>
      <w:r w:rsidR="0039105C" w:rsidRPr="00C80F8E">
        <w:t>zuhalten</w:t>
      </w:r>
    </w:p>
    <w:p w14:paraId="0255703B" w14:textId="77777777" w:rsidR="00D259C9" w:rsidRPr="00C80F8E" w:rsidRDefault="00740783" w:rsidP="003C482D">
      <w:pPr>
        <w:pStyle w:val="Listenabsatz"/>
        <w:numPr>
          <w:ilvl w:val="0"/>
          <w:numId w:val="1"/>
        </w:numPr>
        <w:jc w:val="both"/>
      </w:pPr>
      <w:r w:rsidRPr="00C80F8E">
        <w:t>Nomaden mit in den Augen der seßhaften Mesopotamier fremdartigem Lebensstil</w:t>
      </w:r>
      <w:r w:rsidR="008555EE" w:rsidRPr="00C80F8E">
        <w:t xml:space="preserve"> (keine Städte und Häuser, kein Ackerbau)</w:t>
      </w:r>
    </w:p>
    <w:p w14:paraId="22BF2974" w14:textId="77777777" w:rsidR="0039105C" w:rsidRPr="00C80F8E" w:rsidRDefault="00D259C9" w:rsidP="003C482D">
      <w:pPr>
        <w:pStyle w:val="Listenabsatz"/>
        <w:numPr>
          <w:ilvl w:val="0"/>
          <w:numId w:val="1"/>
        </w:numPr>
        <w:jc w:val="both"/>
      </w:pPr>
      <w:r w:rsidRPr="00C80F8E">
        <w:t>Sprache: kanaanäischer Zweig der semitischen Sprachen; nur aus Namen bekannt</w:t>
      </w:r>
    </w:p>
    <w:p w14:paraId="1AA60C74" w14:textId="77777777" w:rsidR="007A0036" w:rsidRPr="00C80F8E" w:rsidRDefault="0039105C" w:rsidP="003C482D">
      <w:pPr>
        <w:pStyle w:val="Listenabsatz"/>
        <w:numPr>
          <w:ilvl w:val="0"/>
          <w:numId w:val="1"/>
        </w:numPr>
        <w:jc w:val="both"/>
      </w:pPr>
      <w:r w:rsidRPr="00C80F8E">
        <w:t xml:space="preserve">Ibbi-Suen </w:t>
      </w:r>
      <w:r w:rsidR="00690937" w:rsidRPr="00C80F8E">
        <w:t>fällt</w:t>
      </w:r>
      <w:r w:rsidRPr="00C80F8E">
        <w:t xml:space="preserve"> schließlich</w:t>
      </w:r>
      <w:r w:rsidR="00690937" w:rsidRPr="00C80F8E">
        <w:t xml:space="preserve"> Invasion aus dem Osten</w:t>
      </w:r>
      <w:r w:rsidR="00AA4534" w:rsidRPr="00C80F8E">
        <w:t xml:space="preserve"> (Šimaški und Elam)</w:t>
      </w:r>
      <w:r w:rsidR="00690937" w:rsidRPr="00C80F8E">
        <w:t xml:space="preserve"> zum Opfer</w:t>
      </w:r>
    </w:p>
    <w:p w14:paraId="6F38894B" w14:textId="77777777" w:rsidR="00C80F8E" w:rsidRDefault="00C80F8E" w:rsidP="00C80F8E">
      <w:pPr>
        <w:ind w:left="360"/>
        <w:jc w:val="both"/>
      </w:pPr>
    </w:p>
    <w:p w14:paraId="4C26A81F" w14:textId="77777777" w:rsidR="006B0ED9" w:rsidRDefault="006B0ED9" w:rsidP="00C80F8E">
      <w:pPr>
        <w:ind w:left="360"/>
        <w:jc w:val="both"/>
        <w:rPr>
          <w:b/>
        </w:rPr>
      </w:pPr>
    </w:p>
    <w:p w14:paraId="020C9D95" w14:textId="77777777" w:rsidR="006B0ED9" w:rsidRDefault="006B0ED9" w:rsidP="00C80F8E">
      <w:pPr>
        <w:ind w:left="360"/>
        <w:jc w:val="both"/>
        <w:rPr>
          <w:b/>
        </w:rPr>
      </w:pPr>
    </w:p>
    <w:p w14:paraId="39061B52" w14:textId="77777777" w:rsidR="006B0ED9" w:rsidRDefault="006B0ED9" w:rsidP="00C80F8E">
      <w:pPr>
        <w:ind w:left="360"/>
        <w:jc w:val="both"/>
        <w:rPr>
          <w:b/>
        </w:rPr>
      </w:pPr>
    </w:p>
    <w:p w14:paraId="66F7E334" w14:textId="7FD3B6DF" w:rsidR="00C80F8E" w:rsidRDefault="00C80F8E" w:rsidP="00C80F8E">
      <w:pPr>
        <w:ind w:left="360"/>
        <w:jc w:val="both"/>
        <w:rPr>
          <w:b/>
        </w:rPr>
      </w:pPr>
      <w:r w:rsidRPr="00953E04">
        <w:rPr>
          <w:b/>
        </w:rPr>
        <w:t>Die Ur III-Dynastie</w:t>
      </w:r>
      <w:r w:rsidR="00953E04" w:rsidRPr="00953E04">
        <w:rPr>
          <w:b/>
        </w:rPr>
        <w:t xml:space="preserve"> in archäolo</w:t>
      </w:r>
      <w:r w:rsidRPr="00953E04">
        <w:rPr>
          <w:b/>
        </w:rPr>
        <w:t>gischer Hinsicht:</w:t>
      </w:r>
    </w:p>
    <w:p w14:paraId="78B5E386" w14:textId="74E68FC6" w:rsidR="006B0ED9" w:rsidRPr="007320BC" w:rsidRDefault="006B0ED9" w:rsidP="00C80F8E">
      <w:pPr>
        <w:ind w:left="360"/>
        <w:jc w:val="both"/>
      </w:pPr>
      <w:r w:rsidRPr="007320BC">
        <w:t>Architektur</w:t>
      </w:r>
    </w:p>
    <w:p w14:paraId="4ED41D87" w14:textId="75CFBE51" w:rsidR="00C80F8E" w:rsidRDefault="00C80F8E" w:rsidP="00953E04">
      <w:pPr>
        <w:pStyle w:val="Listenabsatz"/>
        <w:numPr>
          <w:ilvl w:val="0"/>
          <w:numId w:val="2"/>
        </w:numPr>
        <w:jc w:val="both"/>
      </w:pPr>
      <w:r>
        <w:t>Zikkurat von Ur</w:t>
      </w:r>
      <w:r w:rsidR="00F93BC7">
        <w:t>, errichtet von Urnammu</w:t>
      </w:r>
    </w:p>
    <w:p w14:paraId="19D442F2" w14:textId="4F854248" w:rsidR="006B0ED9" w:rsidRDefault="006B0ED9" w:rsidP="00953E04">
      <w:pPr>
        <w:pStyle w:val="Listenabsatz"/>
        <w:numPr>
          <w:ilvl w:val="0"/>
          <w:numId w:val="2"/>
        </w:numPr>
        <w:jc w:val="both"/>
      </w:pPr>
      <w:r>
        <w:t>Tempel für den vergöttlichten Šū-Suen in Tell Asmar (antiker Name: Ešnunna): Breitraumcella mit direkter Sichtachse =&gt; typisch für Babylonien</w:t>
      </w:r>
    </w:p>
    <w:p w14:paraId="7F18EBEB" w14:textId="681DAEB2" w:rsidR="006B0ED9" w:rsidRDefault="007320BC" w:rsidP="006B0ED9">
      <w:pPr>
        <w:ind w:left="357"/>
        <w:jc w:val="both"/>
      </w:pPr>
      <w:r>
        <w:t>Rundplastik und Relief</w:t>
      </w:r>
    </w:p>
    <w:p w14:paraId="55C3C7AB" w14:textId="389B468E" w:rsidR="007320BC" w:rsidRDefault="00C80F8E" w:rsidP="00953E04">
      <w:pPr>
        <w:pStyle w:val="Listenabsatz"/>
        <w:numPr>
          <w:ilvl w:val="0"/>
          <w:numId w:val="2"/>
        </w:numPr>
        <w:jc w:val="both"/>
      </w:pPr>
      <w:r>
        <w:t>Urnammu als Korbträger (</w:t>
      </w:r>
      <w:r w:rsidR="007320BC">
        <w:t xml:space="preserve">d.h. </w:t>
      </w:r>
      <w:r>
        <w:t>Bauherr)</w:t>
      </w:r>
    </w:p>
    <w:p w14:paraId="38E3BB03" w14:textId="71CF6892" w:rsidR="007320BC" w:rsidRDefault="00C80F8E" w:rsidP="00A818A3">
      <w:pPr>
        <w:pStyle w:val="Listenabsatz"/>
        <w:numPr>
          <w:ilvl w:val="0"/>
          <w:numId w:val="2"/>
        </w:numPr>
        <w:jc w:val="both"/>
      </w:pPr>
      <w:r>
        <w:t>Stele des Urnammu</w:t>
      </w:r>
      <w:r w:rsidR="00C15A61">
        <w:t xml:space="preserve"> (aus Ur, Tempel des Mondgottes): Der König als Bauherr</w:t>
      </w:r>
      <w:r w:rsidR="00A818A3">
        <w:t xml:space="preserve"> und Adorant</w:t>
      </w:r>
    </w:p>
    <w:p w14:paraId="73BACFB5" w14:textId="60BF3CED" w:rsidR="007320BC" w:rsidRDefault="007320BC" w:rsidP="007320BC">
      <w:pPr>
        <w:ind w:left="357"/>
        <w:jc w:val="both"/>
      </w:pPr>
      <w:r>
        <w:t>Glyptik</w:t>
      </w:r>
    </w:p>
    <w:p w14:paraId="00F64F14" w14:textId="239138C6" w:rsidR="00C80F8E" w:rsidRPr="00C80F8E" w:rsidRDefault="00C80F8E" w:rsidP="00953E04">
      <w:pPr>
        <w:pStyle w:val="Listenabsatz"/>
        <w:numPr>
          <w:ilvl w:val="0"/>
          <w:numId w:val="2"/>
        </w:numPr>
        <w:jc w:val="both"/>
      </w:pPr>
      <w:r>
        <w:t>Die Einführungsszene</w:t>
      </w:r>
    </w:p>
    <w:p w14:paraId="0444631F" w14:textId="77777777" w:rsidR="0018183F" w:rsidRPr="00C80F8E" w:rsidRDefault="0018183F" w:rsidP="003C482D">
      <w:pPr>
        <w:pStyle w:val="Listenabsatz"/>
        <w:jc w:val="both"/>
      </w:pPr>
    </w:p>
    <w:p w14:paraId="4E9B6039" w14:textId="77777777" w:rsidR="003C482D" w:rsidRPr="00C80F8E" w:rsidRDefault="003C482D" w:rsidP="003C482D">
      <w:pPr>
        <w:contextualSpacing/>
        <w:jc w:val="both"/>
      </w:pPr>
    </w:p>
    <w:p w14:paraId="39C74661" w14:textId="77777777" w:rsidR="003C482D" w:rsidRPr="007320BC" w:rsidRDefault="003C482D" w:rsidP="00C80F8E">
      <w:pPr>
        <w:contextualSpacing/>
        <w:jc w:val="both"/>
        <w:outlineLvl w:val="0"/>
        <w:rPr>
          <w:b/>
        </w:rPr>
      </w:pPr>
      <w:r w:rsidRPr="007320BC">
        <w:rPr>
          <w:b/>
        </w:rPr>
        <w:t>Literatur:</w:t>
      </w:r>
    </w:p>
    <w:p w14:paraId="2CE3BF65" w14:textId="77777777" w:rsidR="00A65F8C" w:rsidRPr="00901584" w:rsidRDefault="003C482D" w:rsidP="003C482D">
      <w:pPr>
        <w:contextualSpacing/>
        <w:jc w:val="both"/>
        <w:rPr>
          <w:lang w:val="en-US"/>
        </w:rPr>
      </w:pPr>
      <w:r w:rsidRPr="00901584">
        <w:rPr>
          <w:lang w:val="en-US"/>
        </w:rPr>
        <w:t>Edzard, D.O., Gudea and his dynasty, RIME 3/1, Toronto 1997.</w:t>
      </w:r>
    </w:p>
    <w:p w14:paraId="38325C76" w14:textId="77777777" w:rsidR="00A65F8C" w:rsidRPr="00A65F8C" w:rsidRDefault="00A65F8C" w:rsidP="00A65F8C">
      <w:pPr>
        <w:tabs>
          <w:tab w:val="left" w:pos="1134"/>
          <w:tab w:val="left" w:pos="1160"/>
          <w:tab w:val="right" w:pos="9000"/>
        </w:tabs>
        <w:contextualSpacing/>
        <w:rPr>
          <w:rFonts w:ascii="SemiramisUnicode" w:hAnsi="SemiramisUnicode"/>
        </w:rPr>
      </w:pPr>
      <w:r w:rsidRPr="00985A26">
        <w:rPr>
          <w:rFonts w:ascii="SemiramisUnicode" w:hAnsi="SemiramisUnicode"/>
        </w:rPr>
        <w:t xml:space="preserve">Sallaberger, </w:t>
      </w:r>
      <w:r>
        <w:rPr>
          <w:rFonts w:ascii="SemiramisUnicode" w:hAnsi="SemiramisUnicode"/>
        </w:rPr>
        <w:t xml:space="preserve">W., </w:t>
      </w:r>
      <w:r w:rsidRPr="00A65F8C">
        <w:rPr>
          <w:rFonts w:ascii="SemiramisUnicode" w:hAnsi="SemiramisUnicode"/>
        </w:rPr>
        <w:t>Der kul</w:t>
      </w:r>
      <w:r>
        <w:rPr>
          <w:rFonts w:ascii="SemiramisUnicode" w:hAnsi="SemiramisUnicode"/>
        </w:rPr>
        <w:t>tische Kalender der Ur III-Zeit, UAVA 7,  Berlin &amp;</w:t>
      </w:r>
      <w:r w:rsidRPr="00A65F8C">
        <w:rPr>
          <w:rFonts w:ascii="SemiramisUnicode" w:hAnsi="SemiramisUnicode"/>
        </w:rPr>
        <w:t xml:space="preserve"> New</w:t>
      </w:r>
    </w:p>
    <w:p w14:paraId="7F11DB60" w14:textId="77777777" w:rsidR="003C482D" w:rsidRPr="00A65F8C" w:rsidRDefault="00A65F8C" w:rsidP="00A65F8C">
      <w:pPr>
        <w:tabs>
          <w:tab w:val="left" w:pos="1134"/>
          <w:tab w:val="left" w:pos="1160"/>
          <w:tab w:val="right" w:pos="9000"/>
        </w:tabs>
        <w:contextualSpacing/>
        <w:rPr>
          <w:rFonts w:ascii="SemiramisUnicode" w:hAnsi="SemiramisUnicode"/>
        </w:rPr>
      </w:pPr>
      <w:r>
        <w:rPr>
          <w:rFonts w:ascii="SemiramisUnicode" w:hAnsi="SemiramisUnicode"/>
        </w:rPr>
        <w:tab/>
        <w:t xml:space="preserve">York </w:t>
      </w:r>
      <w:r w:rsidRPr="00A65F8C">
        <w:rPr>
          <w:rFonts w:ascii="SemiramisUnicode" w:hAnsi="SemiramisUnicode"/>
        </w:rPr>
        <w:t>1993</w:t>
      </w:r>
      <w:r>
        <w:rPr>
          <w:rFonts w:ascii="SemiramisUnicode" w:hAnsi="SemiramisUnicode"/>
        </w:rPr>
        <w:t>.</w:t>
      </w:r>
    </w:p>
    <w:p w14:paraId="6B1A0123" w14:textId="77777777" w:rsidR="00740783" w:rsidRPr="00C80F8E" w:rsidRDefault="003C482D" w:rsidP="003C482D">
      <w:pPr>
        <w:contextualSpacing/>
        <w:jc w:val="both"/>
      </w:pPr>
      <w:r w:rsidRPr="00C80F8E">
        <w:t>Steible, H., Die neusumerischen Bau- und Weihinschriften, FAOS 9/1-2, Stuttgart 1991.</w:t>
      </w:r>
    </w:p>
    <w:sectPr w:rsidR="00740783" w:rsidRPr="00C80F8E" w:rsidSect="00740783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8E9F4" w14:textId="77777777" w:rsidR="008B1FCC" w:rsidRDefault="008B1FCC" w:rsidP="00901584">
      <w:pPr>
        <w:spacing w:after="0"/>
      </w:pPr>
      <w:r>
        <w:separator/>
      </w:r>
    </w:p>
  </w:endnote>
  <w:endnote w:type="continuationSeparator" w:id="0">
    <w:p w14:paraId="309D0478" w14:textId="77777777" w:rsidR="008B1FCC" w:rsidRDefault="008B1FCC" w:rsidP="00901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miramisUnicode"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Gentium Plus">
    <w:panose1 w:val="02000503060000020004"/>
    <w:charset w:val="00"/>
    <w:family w:val="auto"/>
    <w:pitch w:val="variable"/>
    <w:sig w:usb0="E00002FF" w:usb1="5200E1FB" w:usb2="02000029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197DD" w14:textId="77777777" w:rsidR="000B0E58" w:rsidRDefault="000B0E58" w:rsidP="00A04B0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914099D" w14:textId="77777777" w:rsidR="000B0E58" w:rsidRDefault="000B0E58" w:rsidP="000B0E58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E30E" w14:textId="77777777" w:rsidR="000B0E58" w:rsidRDefault="000B0E58" w:rsidP="00A04B0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B1FCC">
      <w:rPr>
        <w:rStyle w:val="Seitenzahl"/>
        <w:noProof/>
      </w:rPr>
      <w:t>1</w:t>
    </w:r>
    <w:r>
      <w:rPr>
        <w:rStyle w:val="Seitenzahl"/>
      </w:rPr>
      <w:fldChar w:fldCharType="end"/>
    </w:r>
  </w:p>
  <w:p w14:paraId="2A06D032" w14:textId="77777777" w:rsidR="000B0E58" w:rsidRDefault="000B0E58" w:rsidP="000B0E5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8405C" w14:textId="77777777" w:rsidR="008B1FCC" w:rsidRDefault="008B1FCC" w:rsidP="00901584">
      <w:pPr>
        <w:spacing w:after="0"/>
      </w:pPr>
      <w:r>
        <w:separator/>
      </w:r>
    </w:p>
  </w:footnote>
  <w:footnote w:type="continuationSeparator" w:id="0">
    <w:p w14:paraId="75240C6E" w14:textId="77777777" w:rsidR="008B1FCC" w:rsidRDefault="008B1FCC" w:rsidP="00901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8653" w14:textId="77777777" w:rsidR="00901584" w:rsidRPr="002B7846" w:rsidRDefault="00901584" w:rsidP="00901584">
    <w:pPr>
      <w:tabs>
        <w:tab w:val="left" w:pos="1160"/>
        <w:tab w:val="right" w:pos="9000"/>
      </w:tabs>
      <w:contextualSpacing/>
      <w:jc w:val="both"/>
      <w:outlineLvl w:val="0"/>
      <w:rPr>
        <w:rFonts w:ascii="Gentium Plus" w:hAnsi="Gentium Plus"/>
        <w:sz w:val="20"/>
      </w:rPr>
    </w:pPr>
    <w:r w:rsidRPr="002B7846">
      <w:rPr>
        <w:rFonts w:ascii="Gentium Plus" w:hAnsi="Gentium Plus"/>
        <w:sz w:val="20"/>
      </w:rPr>
      <w:t>Claus Ambos</w:t>
    </w:r>
  </w:p>
  <w:p w14:paraId="141A0495" w14:textId="77777777" w:rsidR="00901584" w:rsidRPr="002B7846" w:rsidRDefault="00901584" w:rsidP="00901584">
    <w:pPr>
      <w:tabs>
        <w:tab w:val="left" w:pos="1160"/>
        <w:tab w:val="right" w:pos="9000"/>
      </w:tabs>
      <w:contextualSpacing/>
      <w:jc w:val="both"/>
      <w:rPr>
        <w:rFonts w:ascii="Gentium Plus" w:hAnsi="Gentium Plus"/>
      </w:rPr>
    </w:pPr>
    <w:r w:rsidRPr="002B7846">
      <w:rPr>
        <w:rFonts w:ascii="Gentium Plus" w:hAnsi="Gentium Plus" w:cs="Times"/>
        <w:color w:val="000000"/>
        <w:sz w:val="20"/>
      </w:rPr>
      <w:t xml:space="preserve">Grundzüge der Vorderasiatischen Archäologie: Einführung in die altvorderasiatische </w:t>
    </w:r>
  </w:p>
  <w:p w14:paraId="452E8738" w14:textId="77777777" w:rsidR="00901584" w:rsidRPr="002B7846" w:rsidRDefault="00901584" w:rsidP="00901584">
    <w:pPr>
      <w:tabs>
        <w:tab w:val="left" w:pos="1160"/>
        <w:tab w:val="right" w:pos="9000"/>
      </w:tabs>
      <w:contextualSpacing/>
      <w:jc w:val="both"/>
      <w:rPr>
        <w:rFonts w:ascii="Gentium Plus" w:hAnsi="Gentium Plus"/>
        <w:b/>
        <w:sz w:val="20"/>
        <w:u w:val="single"/>
      </w:rPr>
    </w:pPr>
    <w:r w:rsidRPr="002B7846">
      <w:rPr>
        <w:rFonts w:ascii="Gentium Plus" w:hAnsi="Gentium Plus" w:cs="Times"/>
        <w:color w:val="000000"/>
        <w:sz w:val="20"/>
      </w:rPr>
      <w:t>Kunst, Architektur und Archäologie (Epipaläolithikum – Frühe Bronzezeit)</w:t>
    </w:r>
  </w:p>
  <w:p w14:paraId="79D3526E" w14:textId="77777777" w:rsidR="00901584" w:rsidRDefault="0090158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29E3"/>
    <w:multiLevelType w:val="hybridMultilevel"/>
    <w:tmpl w:val="7AE64582"/>
    <w:lvl w:ilvl="0" w:tplc="3E8AC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62329"/>
    <w:multiLevelType w:val="hybridMultilevel"/>
    <w:tmpl w:val="4AE23BE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67BB1"/>
    <w:rsid w:val="00020CF8"/>
    <w:rsid w:val="000B0E58"/>
    <w:rsid w:val="000F34B7"/>
    <w:rsid w:val="000F535A"/>
    <w:rsid w:val="00125269"/>
    <w:rsid w:val="0017592D"/>
    <w:rsid w:val="0018183F"/>
    <w:rsid w:val="001B58D9"/>
    <w:rsid w:val="00213258"/>
    <w:rsid w:val="002620EF"/>
    <w:rsid w:val="0039105C"/>
    <w:rsid w:val="003C482D"/>
    <w:rsid w:val="003F0466"/>
    <w:rsid w:val="00595AF6"/>
    <w:rsid w:val="00667BB1"/>
    <w:rsid w:val="00690937"/>
    <w:rsid w:val="006B0ED9"/>
    <w:rsid w:val="006D1A03"/>
    <w:rsid w:val="007320BC"/>
    <w:rsid w:val="00740783"/>
    <w:rsid w:val="007A0036"/>
    <w:rsid w:val="007F0FC5"/>
    <w:rsid w:val="008555EE"/>
    <w:rsid w:val="008A3001"/>
    <w:rsid w:val="008B1FCC"/>
    <w:rsid w:val="00901584"/>
    <w:rsid w:val="00953E04"/>
    <w:rsid w:val="00972CC3"/>
    <w:rsid w:val="00A45AB4"/>
    <w:rsid w:val="00A65F8C"/>
    <w:rsid w:val="00A818A3"/>
    <w:rsid w:val="00AA4534"/>
    <w:rsid w:val="00B84DF3"/>
    <w:rsid w:val="00BC19CA"/>
    <w:rsid w:val="00C14971"/>
    <w:rsid w:val="00C15A61"/>
    <w:rsid w:val="00C80F8E"/>
    <w:rsid w:val="00CB76C2"/>
    <w:rsid w:val="00D259C9"/>
    <w:rsid w:val="00E0535E"/>
    <w:rsid w:val="00F71F31"/>
    <w:rsid w:val="00F93BC7"/>
    <w:rsid w:val="00FC55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9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273D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0937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90158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901584"/>
  </w:style>
  <w:style w:type="paragraph" w:styleId="Fuzeile">
    <w:name w:val="footer"/>
    <w:basedOn w:val="Standard"/>
    <w:link w:val="FuzeileZchn"/>
    <w:unhideWhenUsed/>
    <w:rsid w:val="0090158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901584"/>
  </w:style>
  <w:style w:type="character" w:styleId="Seitenzahl">
    <w:name w:val="page number"/>
    <w:basedOn w:val="Absatz-Standardschriftart"/>
    <w:semiHidden/>
    <w:unhideWhenUsed/>
    <w:rsid w:val="000B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2407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Gutium, Gudea von Lagaš und die III. Dynastie von Ur</vt:lpstr>
      <vt:lpstr>Literatur:</vt:lpstr>
    </vt:vector>
  </TitlesOfParts>
  <Company>Universität Heidelberg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Ambos</dc:creator>
  <cp:keywords/>
  <cp:lastModifiedBy>Claus Ambos</cp:lastModifiedBy>
  <cp:revision>44</cp:revision>
  <cp:lastPrinted>2018-01-16T10:15:00Z</cp:lastPrinted>
  <dcterms:created xsi:type="dcterms:W3CDTF">2011-11-16T14:29:00Z</dcterms:created>
  <dcterms:modified xsi:type="dcterms:W3CDTF">2018-01-16T10:16:00Z</dcterms:modified>
</cp:coreProperties>
</file>