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C253A" w14:textId="77777777" w:rsidR="00386371" w:rsidRPr="0017640E" w:rsidRDefault="00386371" w:rsidP="00386371">
      <w:pPr>
        <w:tabs>
          <w:tab w:val="left" w:pos="1160"/>
          <w:tab w:val="right" w:pos="9000"/>
        </w:tabs>
        <w:jc w:val="both"/>
        <w:rPr>
          <w:rFonts w:ascii="Gentium Plus" w:hAnsi="Gentium Plus"/>
          <w:sz w:val="20"/>
        </w:rPr>
      </w:pPr>
      <w:r w:rsidRPr="0017640E">
        <w:rPr>
          <w:rFonts w:ascii="Gentium Plus" w:hAnsi="Gentium Plus"/>
          <w:sz w:val="20"/>
        </w:rPr>
        <w:t>Claus Ambos</w:t>
      </w:r>
    </w:p>
    <w:p w14:paraId="6EDCEF9E" w14:textId="77777777" w:rsidR="00386371" w:rsidRPr="0017640E" w:rsidRDefault="00386371" w:rsidP="00386371">
      <w:pPr>
        <w:tabs>
          <w:tab w:val="left" w:pos="1160"/>
          <w:tab w:val="right" w:pos="9000"/>
        </w:tabs>
        <w:jc w:val="both"/>
        <w:rPr>
          <w:rFonts w:ascii="Gentium Plus" w:hAnsi="Gentium Plus"/>
        </w:rPr>
      </w:pPr>
      <w:r w:rsidRPr="0017640E">
        <w:rPr>
          <w:rFonts w:ascii="Gentium Plus" w:eastAsiaTheme="minorHAnsi" w:hAnsi="Gentium Plus" w:cs="Times"/>
          <w:color w:val="000000"/>
          <w:sz w:val="20"/>
          <w:lang w:eastAsia="en-US"/>
        </w:rPr>
        <w:t xml:space="preserve">Grundzüge der Vorderasiatischen Archäologie: Einführung in die altvorderasiatische </w:t>
      </w:r>
    </w:p>
    <w:p w14:paraId="2CE18087" w14:textId="77777777" w:rsidR="00386371" w:rsidRPr="0017640E" w:rsidRDefault="00386371" w:rsidP="00386371">
      <w:pPr>
        <w:tabs>
          <w:tab w:val="left" w:pos="1160"/>
          <w:tab w:val="right" w:pos="9000"/>
        </w:tabs>
        <w:jc w:val="both"/>
        <w:rPr>
          <w:rFonts w:ascii="Gentium Plus" w:hAnsi="Gentium Plus"/>
          <w:b/>
          <w:sz w:val="20"/>
          <w:u w:val="single"/>
        </w:rPr>
      </w:pPr>
      <w:r w:rsidRPr="0017640E">
        <w:rPr>
          <w:rFonts w:ascii="Gentium Plus" w:eastAsiaTheme="minorHAnsi" w:hAnsi="Gentium Plus" w:cs="Times"/>
          <w:color w:val="000000"/>
          <w:sz w:val="20"/>
          <w:lang w:eastAsia="en-US"/>
        </w:rPr>
        <w:t>Kunst, Architektur und Archäologie (Epipaläolithikum – Frühe Bronzezeit)</w:t>
      </w:r>
    </w:p>
    <w:p w14:paraId="6F2C77A5" w14:textId="77777777" w:rsidR="00386371" w:rsidRPr="0017640E" w:rsidRDefault="00386371" w:rsidP="00193834">
      <w:pPr>
        <w:tabs>
          <w:tab w:val="left" w:pos="1160"/>
          <w:tab w:val="right" w:pos="9000"/>
        </w:tabs>
        <w:jc w:val="both"/>
        <w:rPr>
          <w:rFonts w:ascii="Gentium Plus" w:hAnsi="Gentium Plus"/>
          <w:u w:val="single"/>
        </w:rPr>
      </w:pPr>
    </w:p>
    <w:p w14:paraId="647B41B0" w14:textId="4D6EE4D9" w:rsidR="00193834" w:rsidRPr="0017640E" w:rsidRDefault="00193834" w:rsidP="00386371">
      <w:pPr>
        <w:tabs>
          <w:tab w:val="left" w:pos="1160"/>
          <w:tab w:val="right" w:pos="9000"/>
        </w:tabs>
        <w:jc w:val="center"/>
        <w:rPr>
          <w:rFonts w:ascii="Gentium Plus" w:hAnsi="Gentium Plus"/>
          <w:b/>
          <w:sz w:val="28"/>
          <w:szCs w:val="28"/>
        </w:rPr>
      </w:pPr>
      <w:r w:rsidRPr="0017640E">
        <w:rPr>
          <w:rFonts w:ascii="Gentium Plus" w:hAnsi="Gentium Plus"/>
          <w:b/>
          <w:sz w:val="28"/>
          <w:szCs w:val="28"/>
        </w:rPr>
        <w:t>Die Uruk-</w:t>
      </w:r>
      <w:r w:rsidR="00D81B1F">
        <w:rPr>
          <w:rFonts w:ascii="Gentium Plus" w:hAnsi="Gentium Plus"/>
          <w:b/>
          <w:sz w:val="28"/>
          <w:szCs w:val="28"/>
        </w:rPr>
        <w:t xml:space="preserve"> und Jemdet </w:t>
      </w:r>
      <w:r w:rsidRPr="0017640E">
        <w:rPr>
          <w:rFonts w:ascii="Gentium Plus" w:hAnsi="Gentium Plus"/>
          <w:b/>
          <w:sz w:val="28"/>
          <w:szCs w:val="28"/>
        </w:rPr>
        <w:t>Nasr-Zeit: Die Zeit der frühen Hochkultur</w:t>
      </w:r>
      <w:r w:rsidR="00265930">
        <w:rPr>
          <w:rFonts w:ascii="Gentium Plus" w:hAnsi="Gentium Plus"/>
          <w:b/>
          <w:sz w:val="28"/>
          <w:szCs w:val="28"/>
        </w:rPr>
        <w:t xml:space="preserve"> in Südmesopotamien</w:t>
      </w:r>
    </w:p>
    <w:p w14:paraId="620C85E5" w14:textId="77777777" w:rsidR="00386371" w:rsidRDefault="00386371" w:rsidP="00386371">
      <w:pPr>
        <w:tabs>
          <w:tab w:val="left" w:pos="1160"/>
          <w:tab w:val="right" w:pos="9000"/>
        </w:tabs>
        <w:jc w:val="center"/>
        <w:rPr>
          <w:rFonts w:ascii="Gentium Plus" w:hAnsi="Gentium Plus"/>
          <w:b/>
          <w:sz w:val="28"/>
          <w:szCs w:val="28"/>
        </w:rPr>
      </w:pPr>
    </w:p>
    <w:p w14:paraId="3030CFA6" w14:textId="1F0C94AF" w:rsidR="00F964D8" w:rsidRDefault="0029060D" w:rsidP="0029060D">
      <w:pPr>
        <w:tabs>
          <w:tab w:val="left" w:pos="1160"/>
          <w:tab w:val="right" w:pos="9000"/>
        </w:tabs>
        <w:jc w:val="both"/>
        <w:rPr>
          <w:rFonts w:ascii="Gentium Plus" w:hAnsi="Gentium Plus"/>
          <w:color w:val="000000" w:themeColor="text1"/>
          <w:szCs w:val="24"/>
        </w:rPr>
      </w:pPr>
      <w:r>
        <w:rPr>
          <w:rFonts w:ascii="Gentium Plus" w:hAnsi="Gentium Plus"/>
          <w:szCs w:val="24"/>
        </w:rPr>
        <w:t xml:space="preserve">Namengebende Fundorte Uruk und Jemdet Nasr. Die Ansetzung einer Jemdet Nasr-Zeit wird </w:t>
      </w:r>
      <w:r w:rsidR="00167938">
        <w:rPr>
          <w:rFonts w:ascii="Gentium Plus" w:hAnsi="Gentium Plus"/>
          <w:szCs w:val="24"/>
        </w:rPr>
        <w:t>kontrovers</w:t>
      </w:r>
      <w:r>
        <w:rPr>
          <w:rFonts w:ascii="Gentium Plus" w:hAnsi="Gentium Plus"/>
          <w:szCs w:val="24"/>
        </w:rPr>
        <w:t xml:space="preserve"> diskutiert</w:t>
      </w:r>
      <w:r w:rsidR="002039D4">
        <w:rPr>
          <w:rFonts w:ascii="Gentium Plus" w:hAnsi="Gentium Plus"/>
          <w:szCs w:val="24"/>
        </w:rPr>
        <w:t xml:space="preserve"> (Sürenhagen)</w:t>
      </w:r>
      <w:r w:rsidR="00167938">
        <w:rPr>
          <w:rFonts w:ascii="Gentium Plus" w:hAnsi="Gentium Plus"/>
          <w:szCs w:val="24"/>
        </w:rPr>
        <w:t xml:space="preserve">. </w:t>
      </w:r>
      <w:r w:rsidR="00DD5729" w:rsidRPr="001C5AD0">
        <w:rPr>
          <w:rFonts w:ascii="Gentium Plus" w:hAnsi="Gentium Plus"/>
          <w:color w:val="000000" w:themeColor="text1"/>
          <w:szCs w:val="24"/>
        </w:rPr>
        <w:t>Die komplexe, heute oft nur schwer nachzuvollziehende Stratigraphie des Eanna-Bezirks in</w:t>
      </w:r>
      <w:r w:rsidR="00F964D8">
        <w:rPr>
          <w:rFonts w:ascii="Gentium Plus" w:hAnsi="Gentium Plus"/>
          <w:color w:val="000000" w:themeColor="text1"/>
          <w:szCs w:val="24"/>
        </w:rPr>
        <w:t xml:space="preserve"> Uruk liefert die Grundlage für </w:t>
      </w:r>
      <w:r w:rsidR="00DD5729" w:rsidRPr="001C5AD0">
        <w:rPr>
          <w:rFonts w:ascii="Gentium Plus" w:hAnsi="Gentium Plus"/>
          <w:color w:val="000000" w:themeColor="text1"/>
          <w:szCs w:val="24"/>
        </w:rPr>
        <w:t>Periodisierung</w:t>
      </w:r>
      <w:r w:rsidR="00F964D8">
        <w:rPr>
          <w:rFonts w:ascii="Gentium Plus" w:hAnsi="Gentium Plus"/>
          <w:color w:val="000000" w:themeColor="text1"/>
          <w:szCs w:val="24"/>
        </w:rPr>
        <w:t>sversuche</w:t>
      </w:r>
      <w:r w:rsidR="00DD5729" w:rsidRPr="001C5AD0">
        <w:rPr>
          <w:rFonts w:ascii="Gentium Plus" w:hAnsi="Gentium Plus"/>
          <w:color w:val="000000" w:themeColor="text1"/>
          <w:szCs w:val="24"/>
        </w:rPr>
        <w:t xml:space="preserve">: </w:t>
      </w:r>
    </w:p>
    <w:p w14:paraId="5FBF6AAD" w14:textId="411ACF29" w:rsidR="00F964D8" w:rsidRPr="00F964D8" w:rsidRDefault="00F964D8" w:rsidP="00F964D8">
      <w:pPr>
        <w:pStyle w:val="Listenabsatz"/>
        <w:numPr>
          <w:ilvl w:val="0"/>
          <w:numId w:val="7"/>
        </w:numPr>
        <w:tabs>
          <w:tab w:val="left" w:pos="1160"/>
          <w:tab w:val="right" w:pos="9000"/>
        </w:tabs>
        <w:jc w:val="both"/>
        <w:rPr>
          <w:rFonts w:ascii="Gentium Plus" w:hAnsi="Gentium Plus"/>
          <w:color w:val="000000" w:themeColor="text1"/>
          <w:szCs w:val="24"/>
        </w:rPr>
      </w:pPr>
      <w:r w:rsidRPr="00F964D8">
        <w:rPr>
          <w:rFonts w:ascii="Gentium Plus" w:hAnsi="Gentium Plus"/>
          <w:color w:val="000000" w:themeColor="text1"/>
          <w:szCs w:val="24"/>
        </w:rPr>
        <w:t>Uruk XIII-IX = Frühe Uruk-Zeit</w:t>
      </w:r>
      <w:r w:rsidR="009E4FA5">
        <w:rPr>
          <w:rFonts w:ascii="Gentium Plus" w:hAnsi="Gentium Plus"/>
          <w:color w:val="000000" w:themeColor="text1"/>
          <w:szCs w:val="24"/>
        </w:rPr>
        <w:t xml:space="preserve"> (ca. 4000-3600 v.Chr.)</w:t>
      </w:r>
      <w:r>
        <w:rPr>
          <w:rFonts w:ascii="Gentium Plus" w:hAnsi="Gentium Plus"/>
          <w:color w:val="000000" w:themeColor="text1"/>
          <w:szCs w:val="24"/>
        </w:rPr>
        <w:t xml:space="preserve">; </w:t>
      </w:r>
      <w:r w:rsidRPr="00F964D8">
        <w:rPr>
          <w:rFonts w:ascii="Gentium Plus" w:hAnsi="Gentium Plus"/>
          <w:color w:val="000000" w:themeColor="text1"/>
          <w:szCs w:val="24"/>
        </w:rPr>
        <w:t>VIII-IV = Späte Uruk-Zeit</w:t>
      </w:r>
      <w:r w:rsidR="009E4FA5">
        <w:rPr>
          <w:rFonts w:ascii="Gentium Plus" w:hAnsi="Gentium Plus"/>
          <w:color w:val="000000" w:themeColor="text1"/>
          <w:szCs w:val="24"/>
        </w:rPr>
        <w:t xml:space="preserve"> </w:t>
      </w:r>
      <w:r w:rsidR="002E301E">
        <w:rPr>
          <w:rFonts w:ascii="Gentium Plus" w:hAnsi="Gentium Plus"/>
          <w:color w:val="000000" w:themeColor="text1"/>
          <w:szCs w:val="24"/>
        </w:rPr>
        <w:t>(ca.</w:t>
      </w:r>
      <w:bookmarkStart w:id="0" w:name="_GoBack"/>
      <w:bookmarkEnd w:id="0"/>
      <w:r w:rsidR="009E4FA5">
        <w:rPr>
          <w:rFonts w:ascii="Gentium Plus" w:hAnsi="Gentium Plus"/>
          <w:color w:val="000000" w:themeColor="text1"/>
          <w:szCs w:val="24"/>
        </w:rPr>
        <w:t xml:space="preserve"> 3600-3150 v. Chr.)</w:t>
      </w:r>
      <w:r>
        <w:rPr>
          <w:rFonts w:ascii="Gentium Plus" w:hAnsi="Gentium Plus"/>
          <w:color w:val="000000" w:themeColor="text1"/>
          <w:szCs w:val="24"/>
        </w:rPr>
        <w:t xml:space="preserve">; III = </w:t>
      </w:r>
      <w:r w:rsidRPr="00F964D8">
        <w:rPr>
          <w:rFonts w:ascii="Gentium Plus" w:hAnsi="Gentium Plus"/>
          <w:color w:val="000000" w:themeColor="text1"/>
          <w:szCs w:val="24"/>
        </w:rPr>
        <w:t>Jemdet Nasr-Zeit</w:t>
      </w:r>
      <w:r w:rsidR="009E4FA5">
        <w:rPr>
          <w:rFonts w:ascii="Gentium Plus" w:hAnsi="Gentium Plus"/>
          <w:color w:val="000000" w:themeColor="text1"/>
          <w:szCs w:val="24"/>
        </w:rPr>
        <w:t xml:space="preserve"> (ca. 3100-2900 v. Chr.)</w:t>
      </w:r>
    </w:p>
    <w:p w14:paraId="012BA206" w14:textId="0634F443" w:rsidR="00DD5729" w:rsidRPr="00F964D8" w:rsidRDefault="00DD5729" w:rsidP="00F964D8">
      <w:pPr>
        <w:pStyle w:val="Listenabsatz"/>
        <w:numPr>
          <w:ilvl w:val="0"/>
          <w:numId w:val="7"/>
        </w:numPr>
        <w:tabs>
          <w:tab w:val="left" w:pos="1160"/>
          <w:tab w:val="right" w:pos="9000"/>
        </w:tabs>
        <w:jc w:val="both"/>
        <w:rPr>
          <w:rFonts w:ascii="Gentium Plus" w:hAnsi="Gentium Plus"/>
          <w:szCs w:val="24"/>
        </w:rPr>
      </w:pPr>
      <w:r w:rsidRPr="00F964D8">
        <w:rPr>
          <w:rFonts w:ascii="Gentium Plus" w:hAnsi="Gentium Plus"/>
          <w:color w:val="000000" w:themeColor="text1"/>
          <w:szCs w:val="24"/>
        </w:rPr>
        <w:t>Uruk XII-IX = frühe Uruk-Zeit, VIII-VI</w:t>
      </w:r>
      <w:r w:rsidR="00617693" w:rsidRPr="00F964D8">
        <w:rPr>
          <w:rFonts w:ascii="Gentium Plus" w:hAnsi="Gentium Plus"/>
          <w:color w:val="000000" w:themeColor="text1"/>
          <w:szCs w:val="24"/>
        </w:rPr>
        <w:t xml:space="preserve">/V = mittlere Uruk-Zeit; </w:t>
      </w:r>
      <w:r w:rsidR="00F964D8">
        <w:rPr>
          <w:rFonts w:ascii="Gentium Plus" w:hAnsi="Gentium Plus"/>
          <w:color w:val="000000" w:themeColor="text1"/>
          <w:szCs w:val="24"/>
        </w:rPr>
        <w:t xml:space="preserve">IV = späte Uruk-Zeit; III = </w:t>
      </w:r>
      <w:r w:rsidRPr="00F964D8">
        <w:rPr>
          <w:rFonts w:ascii="Gentium Plus" w:hAnsi="Gentium Plus"/>
          <w:color w:val="000000" w:themeColor="text1"/>
          <w:szCs w:val="24"/>
        </w:rPr>
        <w:t>Jemdet Nasr-Zeit.</w:t>
      </w:r>
    </w:p>
    <w:p w14:paraId="668CCBED" w14:textId="77777777" w:rsidR="005B142E" w:rsidRDefault="005B142E" w:rsidP="0029060D">
      <w:pPr>
        <w:tabs>
          <w:tab w:val="left" w:pos="1160"/>
          <w:tab w:val="right" w:pos="9000"/>
        </w:tabs>
        <w:jc w:val="both"/>
        <w:rPr>
          <w:rFonts w:ascii="Gentium Plus" w:hAnsi="Gentium Plus"/>
          <w:szCs w:val="24"/>
        </w:rPr>
      </w:pPr>
    </w:p>
    <w:p w14:paraId="2757B35F" w14:textId="4C271BDB" w:rsidR="00060237" w:rsidRDefault="00F65D2C" w:rsidP="0029060D">
      <w:pPr>
        <w:pStyle w:val="Literatur"/>
        <w:rPr>
          <w:rFonts w:ascii="Times New Roman" w:hAnsi="Times New Roman"/>
        </w:rPr>
      </w:pPr>
      <w:r>
        <w:rPr>
          <w:rFonts w:ascii="Times New Roman" w:hAnsi="Times New Roman" w:cs="My2GaraCOIta"/>
          <w:szCs w:val="20"/>
        </w:rPr>
        <w:t xml:space="preserve">Ess, M. van: </w:t>
      </w:r>
      <w:r w:rsidR="00060237" w:rsidRPr="00E94187">
        <w:rPr>
          <w:rFonts w:ascii="Times New Roman" w:hAnsi="Times New Roman" w:cs="My2GaraCOIta"/>
          <w:szCs w:val="20"/>
        </w:rPr>
        <w:t xml:space="preserve">Uruk. B. Archäologisch. </w:t>
      </w:r>
      <w:r>
        <w:rPr>
          <w:rFonts w:ascii="Times New Roman" w:hAnsi="Times New Roman" w:cs="My2GaraCOIta"/>
          <w:i/>
          <w:szCs w:val="20"/>
        </w:rPr>
        <w:t xml:space="preserve">Reallexkon der Assyriologie </w:t>
      </w:r>
      <w:r w:rsidR="00060237">
        <w:rPr>
          <w:rFonts w:ascii="Times New Roman" w:hAnsi="Times New Roman" w:cs="My2GaraCOIta"/>
          <w:szCs w:val="20"/>
        </w:rPr>
        <w:t>14. Berlin &amp; Boston 2014-2016</w:t>
      </w:r>
      <w:r>
        <w:rPr>
          <w:rFonts w:ascii="Times New Roman" w:hAnsi="Times New Roman" w:cs="My2GaraCOIta"/>
          <w:szCs w:val="20"/>
        </w:rPr>
        <w:t>:</w:t>
      </w:r>
      <w:r w:rsidR="00060237" w:rsidRPr="00E94187">
        <w:rPr>
          <w:rFonts w:ascii="Times New Roman" w:hAnsi="Times New Roman" w:cs="My2GaraCOIta"/>
          <w:szCs w:val="20"/>
        </w:rPr>
        <w:t xml:space="preserve"> 457-487.</w:t>
      </w:r>
    </w:p>
    <w:p w14:paraId="1D24DA45" w14:textId="77777777" w:rsidR="0029060D" w:rsidRPr="003720DE" w:rsidRDefault="0029060D" w:rsidP="0029060D">
      <w:pPr>
        <w:pStyle w:val="Literatur"/>
        <w:rPr>
          <w:rFonts w:ascii="Times New Roman" w:hAnsi="Times New Roman"/>
          <w:lang w:val="en-US"/>
        </w:rPr>
      </w:pPr>
      <w:r w:rsidRPr="0029060D">
        <w:rPr>
          <w:rFonts w:ascii="Times New Roman" w:hAnsi="Times New Roman"/>
        </w:rPr>
        <w:t xml:space="preserve">Sürenhagen, D.: </w:t>
      </w:r>
      <w:r w:rsidRPr="0029060D">
        <w:rPr>
          <w:rFonts w:ascii="Times New Roman" w:hAnsi="Times New Roman"/>
          <w:i/>
        </w:rPr>
        <w:t xml:space="preserve">Untersuchungen zur relativen Chronologie Babyloniens und angrenzender Gebiete von der ausgehenden </w:t>
      </w:r>
      <w:r w:rsidRPr="0029060D">
        <w:rPr>
          <w:rFonts w:ascii="Times New Roman" w:hAnsi="Times New Roman" w:cs="Times New Roman"/>
          <w:i/>
        </w:rPr>
        <w:t>ʿ</w:t>
      </w:r>
      <w:r w:rsidRPr="0029060D">
        <w:rPr>
          <w:rFonts w:ascii="Times New Roman" w:hAnsi="Times New Roman"/>
          <w:i/>
        </w:rPr>
        <w:t>Ubaidzeit bis zum Beginn der Frühdynastisch II-Zeit. 1. Studien zur Chronostratigraphie der südbabylonischen Stadtruinen von Uruk und Ur.</w:t>
      </w:r>
      <w:r w:rsidRPr="0029060D">
        <w:rPr>
          <w:rFonts w:ascii="Times New Roman" w:hAnsi="Times New Roman"/>
        </w:rPr>
        <w:t xml:space="preserve"> </w:t>
      </w:r>
      <w:r w:rsidRPr="003720DE">
        <w:rPr>
          <w:rFonts w:ascii="Times New Roman" w:hAnsi="Times New Roman"/>
          <w:lang w:val="en-US"/>
        </w:rPr>
        <w:t>HSAO 8. Heidelberg 1999.</w:t>
      </w:r>
    </w:p>
    <w:p w14:paraId="2312A3DB" w14:textId="77777777" w:rsidR="0029060D" w:rsidRPr="0029060D" w:rsidRDefault="0029060D" w:rsidP="0029060D">
      <w:pPr>
        <w:tabs>
          <w:tab w:val="left" w:pos="1160"/>
          <w:tab w:val="right" w:pos="9000"/>
        </w:tabs>
        <w:jc w:val="both"/>
        <w:rPr>
          <w:rFonts w:ascii="Gentium Plus" w:hAnsi="Gentium Plus"/>
          <w:szCs w:val="24"/>
        </w:rPr>
      </w:pPr>
    </w:p>
    <w:p w14:paraId="4070306D" w14:textId="29D63BC2" w:rsidR="0029060D" w:rsidRPr="0029060D" w:rsidRDefault="0029060D" w:rsidP="0029060D">
      <w:pPr>
        <w:tabs>
          <w:tab w:val="left" w:pos="1160"/>
          <w:tab w:val="right" w:pos="9000"/>
        </w:tabs>
        <w:rPr>
          <w:rFonts w:ascii="Gentium Plus" w:hAnsi="Gentium Plus"/>
          <w:szCs w:val="24"/>
        </w:rPr>
      </w:pPr>
      <w:r>
        <w:rPr>
          <w:rFonts w:ascii="Gentium Plus" w:hAnsi="Gentium Plus"/>
          <w:szCs w:val="24"/>
        </w:rPr>
        <w:t>Einführung:</w:t>
      </w:r>
    </w:p>
    <w:p w14:paraId="6793E011" w14:textId="77777777"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 xml:space="preserve">Südbabylonien (das spätere Sumer): Der Beginn des 4. Jahrtausends sah einscheindene klimatische Veränderungen, wie durch Bohrungen des Forschungsschiffes Meteor in den 60er Jahren im Persischen Golf nachgewiesen werden konnte. Um die Mitte des 4. Jtsds. kam es zu trockeneren Klimabedingungen, die Flüße führten weniger Wasser und damit weniger Sedimente in den Golf. War Südmesopotamien wegen des hohen Wasserstandes des Golfs und des Wasserreichtums der Flüsse bis dato weitgehend unbesiedeltes Sumpfland, begann nun das Wasser, sich zurückzuziehen, der Wasserspiegel des Golfs fiel um drei Meter. </w:t>
      </w:r>
    </w:p>
    <w:p w14:paraId="2F07D1EE" w14:textId="77777777"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Tendenz für kommende Jahrhunderte: Rückgang des Wassers, führt zur Konzentration von Siedlungen an den verbleibenden natürlichen Wasserläufen und Kanälen; die Anzahl von Einzelsiedlungen geht zurück, es entwickeln sich regelrechte Ballungszentren.</w:t>
      </w:r>
    </w:p>
    <w:p w14:paraId="5A0D6490" w14:textId="77777777"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Uruk ist der Frühdynastisch-I-Zeit (Beginn 3. Jtsd., nach der Jemdet-Nasr-Periode) bereits 5,5 km</w:t>
      </w:r>
      <w:r w:rsidRPr="0017640E">
        <w:rPr>
          <w:rFonts w:ascii="Gentium Plus" w:hAnsi="Gentium Plus"/>
          <w:vertAlign w:val="superscript"/>
        </w:rPr>
        <w:t>2</w:t>
      </w:r>
      <w:r w:rsidRPr="0017640E">
        <w:rPr>
          <w:rFonts w:ascii="Gentium Plus" w:hAnsi="Gentium Plus"/>
        </w:rPr>
        <w:t xml:space="preserve"> groß; zum Vergleich: Athen unter Themistokles: 2,5 km</w:t>
      </w:r>
      <w:r w:rsidRPr="0017640E">
        <w:rPr>
          <w:rFonts w:ascii="Gentium Plus" w:hAnsi="Gentium Plus"/>
          <w:vertAlign w:val="superscript"/>
        </w:rPr>
        <w:t>2</w:t>
      </w:r>
      <w:r w:rsidRPr="0017640E">
        <w:rPr>
          <w:rFonts w:ascii="Gentium Plus" w:hAnsi="Gentium Plus"/>
        </w:rPr>
        <w:t>; Jerusalem um 40 n. Chr.: 1 km</w:t>
      </w:r>
      <w:r w:rsidRPr="0017640E">
        <w:rPr>
          <w:rFonts w:ascii="Gentium Plus" w:hAnsi="Gentium Plus"/>
          <w:vertAlign w:val="superscript"/>
        </w:rPr>
        <w:t>2</w:t>
      </w:r>
      <w:r w:rsidRPr="0017640E">
        <w:rPr>
          <w:rFonts w:ascii="Gentium Plus" w:hAnsi="Gentium Plus"/>
        </w:rPr>
        <w:t>; Rom unter Hadrian nur doppelt so groß</w:t>
      </w:r>
    </w:p>
    <w:p w14:paraId="45B909EB" w14:textId="77777777"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Uruk-Zeit: urbane Revolution</w:t>
      </w:r>
    </w:p>
    <w:p w14:paraId="66BE57A2" w14:textId="77777777" w:rsidR="00193834" w:rsidRPr="0017640E" w:rsidRDefault="00193834" w:rsidP="00193834">
      <w:pPr>
        <w:tabs>
          <w:tab w:val="left" w:pos="1160"/>
          <w:tab w:val="right" w:pos="9000"/>
        </w:tabs>
        <w:jc w:val="both"/>
        <w:rPr>
          <w:rFonts w:ascii="Gentium Plus" w:hAnsi="Gentium Plus"/>
        </w:rPr>
      </w:pPr>
    </w:p>
    <w:p w14:paraId="2F34C4D5" w14:textId="1AC9A78F" w:rsidR="00193834" w:rsidRPr="0017640E" w:rsidRDefault="00193834" w:rsidP="00193834">
      <w:pPr>
        <w:tabs>
          <w:tab w:val="left" w:pos="1160"/>
          <w:tab w:val="right" w:pos="9000"/>
        </w:tabs>
        <w:jc w:val="both"/>
        <w:rPr>
          <w:rFonts w:ascii="Gentium Plus" w:hAnsi="Gentium Plus"/>
        </w:rPr>
      </w:pPr>
      <w:r w:rsidRPr="0017640E">
        <w:rPr>
          <w:rFonts w:ascii="Gentium Plus" w:hAnsi="Gentium Plus"/>
        </w:rPr>
        <w:t>Architektur:</w:t>
      </w:r>
      <w:r w:rsidR="00CD3B55">
        <w:rPr>
          <w:rFonts w:ascii="Gentium Plus" w:hAnsi="Gentium Plus"/>
        </w:rPr>
        <w:t xml:space="preserve"> Eanna-</w:t>
      </w:r>
      <w:r w:rsidR="00F66635">
        <w:rPr>
          <w:rFonts w:ascii="Gentium Plus" w:hAnsi="Gentium Plus"/>
        </w:rPr>
        <w:t>Bezirk</w:t>
      </w:r>
    </w:p>
    <w:p w14:paraId="166FF733" w14:textId="18DB869D" w:rsidR="00193834" w:rsidRPr="0017640E" w:rsidRDefault="001C2D38" w:rsidP="00193834">
      <w:pPr>
        <w:pStyle w:val="Listenabsatz"/>
        <w:numPr>
          <w:ilvl w:val="0"/>
          <w:numId w:val="1"/>
        </w:numPr>
        <w:tabs>
          <w:tab w:val="left" w:pos="1160"/>
          <w:tab w:val="right" w:pos="9000"/>
        </w:tabs>
        <w:jc w:val="both"/>
        <w:rPr>
          <w:rFonts w:ascii="Gentium Plus" w:hAnsi="Gentium Plus"/>
        </w:rPr>
      </w:pPr>
      <w:r>
        <w:rPr>
          <w:rFonts w:ascii="Gentium Plus" w:hAnsi="Gentium Plus"/>
        </w:rPr>
        <w:t>monumentale</w:t>
      </w:r>
      <w:r w:rsidR="00193834" w:rsidRPr="0017640E">
        <w:rPr>
          <w:rFonts w:ascii="Gentium Plus" w:hAnsi="Gentium Plus"/>
        </w:rPr>
        <w:t xml:space="preserve"> Architektur von Uruk in Schichten V, IV und III im sogenannten Eanna-Bezirk, in dem sich später in historischen Epochen Eanna, der Tempel der Göttin Inanna/Ištar erhebt</w:t>
      </w:r>
    </w:p>
    <w:p w14:paraId="606B0E81" w14:textId="36462564"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lastRenderedPageBreak/>
        <w:t>Experimentieren mit verschiedenen Baumater</w:t>
      </w:r>
      <w:r w:rsidR="00D55F61">
        <w:rPr>
          <w:rFonts w:ascii="Gentium Plus" w:hAnsi="Gentium Plus"/>
        </w:rPr>
        <w:t>ia</w:t>
      </w:r>
      <w:r w:rsidR="00DE412F">
        <w:rPr>
          <w:rFonts w:ascii="Gentium Plus" w:hAnsi="Gentium Plus"/>
        </w:rPr>
        <w:t>lien: Steinstifttempel aus einer Art Beton;</w:t>
      </w:r>
      <w:r w:rsidR="00D55F61">
        <w:rPr>
          <w:rFonts w:ascii="Gentium Plus" w:hAnsi="Gentium Plus"/>
        </w:rPr>
        <w:t xml:space="preserve"> Kalksteintempel</w:t>
      </w:r>
      <w:r w:rsidR="00DE412F">
        <w:rPr>
          <w:rFonts w:ascii="Gentium Plus" w:hAnsi="Gentium Plus"/>
        </w:rPr>
        <w:t>;</w:t>
      </w:r>
      <w:r w:rsidR="00007F89">
        <w:rPr>
          <w:rFonts w:ascii="Gentium Plus" w:hAnsi="Gentium Plus"/>
        </w:rPr>
        <w:t xml:space="preserve"> Riemchengebäude (Riemchen = Ziegelabschlag)</w:t>
      </w:r>
    </w:p>
    <w:p w14:paraId="058A28F3" w14:textId="77777777" w:rsidR="00B961F1" w:rsidRDefault="00DD5099" w:rsidP="00193834">
      <w:pPr>
        <w:pStyle w:val="Listenabsatz"/>
        <w:numPr>
          <w:ilvl w:val="0"/>
          <w:numId w:val="1"/>
        </w:numPr>
        <w:tabs>
          <w:tab w:val="left" w:pos="1160"/>
          <w:tab w:val="right" w:pos="9000"/>
        </w:tabs>
        <w:jc w:val="both"/>
        <w:rPr>
          <w:rFonts w:ascii="Gentium Plus" w:hAnsi="Gentium Plus"/>
        </w:rPr>
      </w:pPr>
      <w:r>
        <w:rPr>
          <w:rFonts w:ascii="Gentium Plus" w:hAnsi="Gentium Plus"/>
        </w:rPr>
        <w:t>große Gebäude vom Mittelsa</w:t>
      </w:r>
      <w:r w:rsidR="00193834" w:rsidRPr="0017640E">
        <w:rPr>
          <w:rFonts w:ascii="Gentium Plus" w:hAnsi="Gentium Plus"/>
        </w:rPr>
        <w:t>alhaus-Typ mit Nischenarchitektur; da Nischen zumindest in historischen Epochen Mesopotamiens ein charakteristisches Kennzeichen der Tempelarchitektur sind, werden auch diese Gebäude als Tempel angesprochen</w:t>
      </w:r>
      <w:r w:rsidR="00B961F1">
        <w:rPr>
          <w:rFonts w:ascii="Gentium Plus" w:hAnsi="Gentium Plus"/>
        </w:rPr>
        <w:t xml:space="preserve">. </w:t>
      </w:r>
    </w:p>
    <w:p w14:paraId="061866CC" w14:textId="20519B44" w:rsidR="00193834" w:rsidRPr="0017640E" w:rsidRDefault="00B961F1" w:rsidP="00193834">
      <w:pPr>
        <w:pStyle w:val="Listenabsatz"/>
        <w:numPr>
          <w:ilvl w:val="0"/>
          <w:numId w:val="1"/>
        </w:numPr>
        <w:tabs>
          <w:tab w:val="left" w:pos="1160"/>
          <w:tab w:val="right" w:pos="9000"/>
        </w:tabs>
        <w:jc w:val="both"/>
        <w:rPr>
          <w:rFonts w:ascii="Gentium Plus" w:hAnsi="Gentium Plus"/>
        </w:rPr>
      </w:pPr>
      <w:r>
        <w:rPr>
          <w:rFonts w:ascii="Gentium Plus" w:hAnsi="Gentium Plus"/>
        </w:rPr>
        <w:t xml:space="preserve">Beispiel für Ausmaße: Kalksteintempel mißt </w:t>
      </w:r>
      <w:r w:rsidRPr="0017640E">
        <w:rPr>
          <w:rFonts w:ascii="Gentium Plus" w:hAnsi="Gentium Plus"/>
        </w:rPr>
        <w:t xml:space="preserve">70 </w:t>
      </w:r>
      <w:r w:rsidRPr="0017640E">
        <w:rPr>
          <w:rFonts w:ascii="Gentium Plus" w:eastAsia="Heiti SC" w:hAnsi="Gentium Plus" w:cs="Heiti SC"/>
        </w:rPr>
        <w:t>×</w:t>
      </w:r>
      <w:r w:rsidRPr="0017640E">
        <w:rPr>
          <w:rFonts w:ascii="Gentium Plus" w:hAnsi="Gentium Plus"/>
        </w:rPr>
        <w:t xml:space="preserve"> 30 m</w:t>
      </w:r>
    </w:p>
    <w:p w14:paraId="712C6437" w14:textId="27C5F8CE"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Gebäude nicht durch Feindeshand oder Katastrophe zerstört, sondern bei Neustrukturierungen des Gebietes abgerissen und durch neue Bauwerke ersetzt: Mauern bis auf die Stümpfe abgetragen und die ehemaligen Räume und Höfe mit Abbruchmaterial zugesetzt</w:t>
      </w:r>
      <w:r w:rsidR="00E54656">
        <w:rPr>
          <w:rFonts w:ascii="Gentium Plus" w:hAnsi="Gentium Plus"/>
        </w:rPr>
        <w:t xml:space="preserve">: </w:t>
      </w:r>
      <w:r w:rsidR="00E54656" w:rsidRPr="00E54656">
        <w:rPr>
          <w:rFonts w:ascii="Gentium Plus" w:hAnsi="Gentium Plus"/>
          <w:spacing w:val="4"/>
        </w:rPr>
        <w:t xml:space="preserve">Am Ende der Periode Uruk IVb werden die dort befindlichen monumentalen Bauwerke abgerissen und durch Neubauten ersetzt. Am Ende von Uruk IVa werden die Bauwerke abgerissen, eingeebnet und das Areal wird mit Feuer gereinigt. In der anschließenden Periode Uruk III entsteht eine Hochterrasse, aus der sich dann die Zikkurat des </w:t>
      </w:r>
      <w:r w:rsidR="008D7E50">
        <w:rPr>
          <w:rFonts w:ascii="Gentium Plus" w:hAnsi="Gentium Plus"/>
          <w:spacing w:val="4"/>
        </w:rPr>
        <w:t xml:space="preserve">historischen </w:t>
      </w:r>
      <w:r w:rsidR="00E54656" w:rsidRPr="00E54656">
        <w:rPr>
          <w:rFonts w:ascii="Gentium Plus" w:hAnsi="Gentium Plus"/>
          <w:spacing w:val="4"/>
        </w:rPr>
        <w:t>Eanna-Tempels entwickelt.</w:t>
      </w:r>
    </w:p>
    <w:p w14:paraId="4F0D9674" w14:textId="44D3623A" w:rsidR="00193834"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In den Gebäuden fanden sich daher auch keine Reste ihrer usrprünglichen Ausstattung oder Einrichtung</w:t>
      </w:r>
      <w:r w:rsidR="00903983">
        <w:rPr>
          <w:rFonts w:ascii="Gentium Plus" w:hAnsi="Gentium Plus"/>
        </w:rPr>
        <w:t>. So wurde beispielsweise</w:t>
      </w:r>
      <w:r w:rsidR="00383D9E">
        <w:rPr>
          <w:rFonts w:ascii="Gentium Plus" w:hAnsi="Gentium Plus"/>
        </w:rPr>
        <w:t xml:space="preserve"> das Inventar des Steinstifttempels im R</w:t>
      </w:r>
      <w:r w:rsidR="007238C0">
        <w:rPr>
          <w:rFonts w:ascii="Gentium Plus" w:hAnsi="Gentium Plus"/>
        </w:rPr>
        <w:t>iemchengebäude rituell beerdigt</w:t>
      </w:r>
      <w:r w:rsidR="00383D9E" w:rsidRPr="0017640E">
        <w:rPr>
          <w:rFonts w:ascii="Gentium Plus" w:hAnsi="Gentium Plus"/>
        </w:rPr>
        <w:t>.</w:t>
      </w:r>
    </w:p>
    <w:p w14:paraId="1EDD1AF1" w14:textId="77777777" w:rsidR="00F66635" w:rsidRDefault="00F66635" w:rsidP="00F66635">
      <w:pPr>
        <w:tabs>
          <w:tab w:val="left" w:pos="1160"/>
          <w:tab w:val="right" w:pos="9000"/>
        </w:tabs>
        <w:ind w:left="360"/>
        <w:jc w:val="both"/>
        <w:rPr>
          <w:rFonts w:ascii="Gentium Plus" w:hAnsi="Gentium Plus"/>
        </w:rPr>
      </w:pPr>
    </w:p>
    <w:p w14:paraId="299B2ADC" w14:textId="0C0D57D7" w:rsidR="00F66635" w:rsidRPr="00F66635" w:rsidRDefault="00F66635" w:rsidP="00F66635">
      <w:pPr>
        <w:tabs>
          <w:tab w:val="left" w:pos="1160"/>
          <w:tab w:val="right" w:pos="9000"/>
        </w:tabs>
        <w:ind w:left="360"/>
        <w:jc w:val="both"/>
        <w:rPr>
          <w:rFonts w:ascii="Gentium Plus" w:hAnsi="Gentium Plus"/>
        </w:rPr>
      </w:pPr>
      <w:r>
        <w:rPr>
          <w:rFonts w:ascii="Gentium Plus" w:hAnsi="Gentium Plus"/>
        </w:rPr>
        <w:t>Archit</w:t>
      </w:r>
      <w:r w:rsidR="000A5949">
        <w:rPr>
          <w:rFonts w:ascii="Gentium Plus" w:hAnsi="Gentium Plus"/>
        </w:rPr>
        <w:t>e</w:t>
      </w:r>
      <w:r>
        <w:rPr>
          <w:rFonts w:ascii="Gentium Plus" w:hAnsi="Gentium Plus"/>
        </w:rPr>
        <w:t>ktur: Anu-Bezirk</w:t>
      </w:r>
    </w:p>
    <w:p w14:paraId="6E00940D" w14:textId="1B6605D6"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Der Anu-Bezirk: seit Obed-Zeit bis Uruk IV oder III immer wieder überbaute Hochterrasse ("Zikkurat"), die im letzen Bauzustand ca. 15 m hoch war; auf ihr befand sich ein Heiligtum</w:t>
      </w:r>
      <w:r w:rsidR="00E865BF">
        <w:rPr>
          <w:rFonts w:ascii="Gentium Plus" w:hAnsi="Gentium Plus"/>
        </w:rPr>
        <w:t xml:space="preserve"> (des Himmelsgottes Anu?)</w:t>
      </w:r>
      <w:r w:rsidR="00043F50">
        <w:rPr>
          <w:rFonts w:ascii="Gentium Plus" w:hAnsi="Gentium Plus"/>
        </w:rPr>
        <w:t>, der "Weiße Tempel"</w:t>
      </w:r>
      <w:r w:rsidR="00F92778">
        <w:rPr>
          <w:rFonts w:ascii="Gentium Plus" w:hAnsi="Gentium Plus"/>
        </w:rPr>
        <w:t xml:space="preserve"> (datiert mit Radiokarbonmethode auf ca. 3450 v.Chr.)</w:t>
      </w:r>
    </w:p>
    <w:p w14:paraId="273CB188" w14:textId="713948C1"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"Alte Terrasse":</w:t>
      </w:r>
      <w:r w:rsidRPr="0017640E">
        <w:rPr>
          <w:rFonts w:ascii="Gentium Plus" w:hAnsi="Gentium Plus"/>
          <w:spacing w:val="4"/>
        </w:rPr>
        <w:t xml:space="preserve"> Fläche von ca. 200,5 × 173,6-184 m und eine Mindesthöhe von 10,</w:t>
      </w:r>
      <w:r w:rsidR="000004B6">
        <w:rPr>
          <w:rFonts w:ascii="Gentium Plus" w:hAnsi="Gentium Plus"/>
          <w:spacing w:val="4"/>
        </w:rPr>
        <w:t xml:space="preserve">5 m. </w:t>
      </w:r>
      <w:r w:rsidR="00151FC5">
        <w:rPr>
          <w:rFonts w:ascii="Gentium Plus" w:hAnsi="Gentium Plus"/>
          <w:spacing w:val="4"/>
        </w:rPr>
        <w:t>Datierungsversuche schwanken zwischen</w:t>
      </w:r>
      <w:r w:rsidR="000004B6">
        <w:rPr>
          <w:rFonts w:ascii="Gentium Plus" w:hAnsi="Gentium Plus"/>
          <w:spacing w:val="4"/>
        </w:rPr>
        <w:t xml:space="preserve"> Uruk V</w:t>
      </w:r>
      <w:r w:rsidR="0041203A">
        <w:rPr>
          <w:rFonts w:ascii="Gentium Plus" w:hAnsi="Gentium Plus"/>
          <w:spacing w:val="4"/>
        </w:rPr>
        <w:t>-,</w:t>
      </w:r>
      <w:r w:rsidRPr="0017640E">
        <w:rPr>
          <w:rFonts w:ascii="Gentium Plus" w:hAnsi="Gentium Plus"/>
          <w:spacing w:val="4"/>
        </w:rPr>
        <w:t xml:space="preserve"> IV-</w:t>
      </w:r>
      <w:r w:rsidR="00861D4F">
        <w:rPr>
          <w:rFonts w:ascii="Gentium Plus" w:hAnsi="Gentium Plus"/>
          <w:spacing w:val="4"/>
        </w:rPr>
        <w:t xml:space="preserve"> oder </w:t>
      </w:r>
      <w:r w:rsidR="0041203A">
        <w:rPr>
          <w:rFonts w:ascii="Gentium Plus" w:hAnsi="Gentium Plus"/>
          <w:spacing w:val="4"/>
        </w:rPr>
        <w:t>III</w:t>
      </w:r>
      <w:r w:rsidR="00861D4F">
        <w:rPr>
          <w:rFonts w:ascii="Gentium Plus" w:hAnsi="Gentium Plus"/>
          <w:spacing w:val="4"/>
        </w:rPr>
        <w:t>-</w:t>
      </w:r>
      <w:r w:rsidRPr="0017640E">
        <w:rPr>
          <w:rFonts w:ascii="Gentium Plus" w:hAnsi="Gentium Plus"/>
          <w:spacing w:val="4"/>
        </w:rPr>
        <w:t>Zeit. Auf der „Alten Terrasse“ waren keine Gebäudereste aus der Entstehungszeit erhalten</w:t>
      </w:r>
    </w:p>
    <w:p w14:paraId="5E737D28" w14:textId="77777777"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spacing w:val="4"/>
        </w:rPr>
        <w:t>Hochterrasse und Alte Terrasse werden dann aufgelassen und erst im 1. Jtsd. v. Chr. mit einem Heiligtum des Himmelsgottes Anu überbaut</w:t>
      </w:r>
    </w:p>
    <w:p w14:paraId="0F953DB4" w14:textId="77777777" w:rsidR="00193834" w:rsidRPr="0017640E" w:rsidRDefault="00193834" w:rsidP="00193834">
      <w:pPr>
        <w:tabs>
          <w:tab w:val="left" w:pos="1160"/>
          <w:tab w:val="right" w:pos="9000"/>
        </w:tabs>
        <w:jc w:val="both"/>
        <w:rPr>
          <w:rFonts w:ascii="Gentium Plus" w:hAnsi="Gentium Plus"/>
        </w:rPr>
      </w:pPr>
    </w:p>
    <w:p w14:paraId="6B6CD185" w14:textId="77777777" w:rsidR="00193834" w:rsidRPr="0017640E" w:rsidRDefault="00193834" w:rsidP="00193834">
      <w:pPr>
        <w:tabs>
          <w:tab w:val="left" w:pos="1160"/>
          <w:tab w:val="right" w:pos="9000"/>
        </w:tabs>
        <w:jc w:val="both"/>
        <w:rPr>
          <w:rFonts w:ascii="Gentium Plus" w:hAnsi="Gentium Plus"/>
        </w:rPr>
      </w:pPr>
      <w:r w:rsidRPr="0017640E">
        <w:rPr>
          <w:rFonts w:ascii="Gentium Plus" w:hAnsi="Gentium Plus"/>
        </w:rPr>
        <w:t>Kunst:</w:t>
      </w:r>
    </w:p>
    <w:p w14:paraId="48AEBED2" w14:textId="360F52A7" w:rsidR="00193834" w:rsidRPr="0017640E" w:rsidRDefault="00B961F1" w:rsidP="00193834">
      <w:pPr>
        <w:pStyle w:val="Listenabsatz"/>
        <w:numPr>
          <w:ilvl w:val="0"/>
          <w:numId w:val="1"/>
        </w:numPr>
        <w:tabs>
          <w:tab w:val="left" w:pos="1160"/>
          <w:tab w:val="right" w:pos="9000"/>
        </w:tabs>
        <w:jc w:val="both"/>
        <w:rPr>
          <w:rFonts w:ascii="Gentium Plus" w:hAnsi="Gentium Plus"/>
        </w:rPr>
      </w:pPr>
      <w:r>
        <w:rPr>
          <w:rFonts w:ascii="Gentium Plus" w:hAnsi="Gentium Plus"/>
        </w:rPr>
        <w:t>Dame von Warka</w:t>
      </w:r>
    </w:p>
    <w:p w14:paraId="72DB6084" w14:textId="11178ECE"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 xml:space="preserve">Kultvase </w:t>
      </w:r>
    </w:p>
    <w:p w14:paraId="6512AD2C" w14:textId="1172C137" w:rsidR="00193834" w:rsidRPr="0017640E" w:rsidRDefault="00193834" w:rsidP="00193834">
      <w:pPr>
        <w:pStyle w:val="Listenabsatz"/>
        <w:numPr>
          <w:ilvl w:val="0"/>
          <w:numId w:val="1"/>
        </w:numPr>
        <w:tabs>
          <w:tab w:val="left" w:pos="1160"/>
          <w:tab w:val="right" w:pos="9000"/>
        </w:tabs>
        <w:jc w:val="both"/>
        <w:rPr>
          <w:rFonts w:ascii="Gentium Plus" w:hAnsi="Gentium Plus"/>
        </w:rPr>
      </w:pPr>
      <w:r w:rsidRPr="0017640E">
        <w:rPr>
          <w:rFonts w:ascii="Gentium Plus" w:hAnsi="Gentium Plus"/>
        </w:rPr>
        <w:t>Löwenjagdstele</w:t>
      </w:r>
    </w:p>
    <w:p w14:paraId="188A6FB1" w14:textId="3FE72B30" w:rsidR="00193834" w:rsidRPr="0017640E" w:rsidRDefault="00B961F1" w:rsidP="00193834">
      <w:pPr>
        <w:pStyle w:val="Listenabsatz"/>
        <w:numPr>
          <w:ilvl w:val="0"/>
          <w:numId w:val="1"/>
        </w:numPr>
        <w:tabs>
          <w:tab w:val="left" w:pos="1160"/>
          <w:tab w:val="right" w:pos="9000"/>
        </w:tabs>
        <w:jc w:val="both"/>
        <w:rPr>
          <w:rFonts w:ascii="Gentium Plus" w:hAnsi="Gentium Plus"/>
        </w:rPr>
      </w:pPr>
      <w:r>
        <w:rPr>
          <w:rFonts w:ascii="Gentium Plus" w:hAnsi="Gentium Plus"/>
        </w:rPr>
        <w:t>Der "Kleine König"</w:t>
      </w:r>
    </w:p>
    <w:p w14:paraId="11EB92B3" w14:textId="77777777" w:rsidR="00193834" w:rsidRPr="0017640E" w:rsidRDefault="00193834" w:rsidP="00193834">
      <w:pPr>
        <w:tabs>
          <w:tab w:val="left" w:pos="1160"/>
          <w:tab w:val="right" w:pos="9000"/>
        </w:tabs>
        <w:jc w:val="both"/>
        <w:rPr>
          <w:rFonts w:ascii="Gentium Plus" w:hAnsi="Gentium Plus"/>
        </w:rPr>
      </w:pPr>
    </w:p>
    <w:p w14:paraId="4A8103C7" w14:textId="692A80AC" w:rsidR="00B31F09" w:rsidRDefault="00B31F09" w:rsidP="00193834">
      <w:pPr>
        <w:tabs>
          <w:tab w:val="left" w:pos="1160"/>
          <w:tab w:val="right" w:pos="9000"/>
        </w:tabs>
        <w:jc w:val="both"/>
        <w:rPr>
          <w:rFonts w:ascii="Gentium Plus" w:hAnsi="Gentium Plus"/>
        </w:rPr>
      </w:pPr>
      <w:r>
        <w:rPr>
          <w:rFonts w:ascii="Gentium Plus" w:hAnsi="Gentium Plus"/>
        </w:rPr>
        <w:t>Glyptik:</w:t>
      </w:r>
    </w:p>
    <w:p w14:paraId="4FBE1D78" w14:textId="5A20ECF7" w:rsidR="004660E5" w:rsidRDefault="004660E5" w:rsidP="00903053">
      <w:pPr>
        <w:pStyle w:val="Listenabsatz"/>
        <w:numPr>
          <w:ilvl w:val="0"/>
          <w:numId w:val="6"/>
        </w:numPr>
        <w:tabs>
          <w:tab w:val="left" w:pos="1160"/>
          <w:tab w:val="right" w:pos="9000"/>
        </w:tabs>
        <w:jc w:val="both"/>
        <w:rPr>
          <w:rFonts w:ascii="Gentium Plus" w:hAnsi="Gentium Plus"/>
        </w:rPr>
      </w:pPr>
      <w:r>
        <w:rPr>
          <w:rFonts w:ascii="Gentium Plus" w:hAnsi="Gentium Plus"/>
        </w:rPr>
        <w:t>Rollsiegel</w:t>
      </w:r>
    </w:p>
    <w:p w14:paraId="57B87302" w14:textId="48B46D3C" w:rsidR="004660E5" w:rsidRDefault="004660E5" w:rsidP="00903053">
      <w:pPr>
        <w:pStyle w:val="Listenabsatz"/>
        <w:numPr>
          <w:ilvl w:val="0"/>
          <w:numId w:val="6"/>
        </w:numPr>
        <w:tabs>
          <w:tab w:val="left" w:pos="1160"/>
          <w:tab w:val="right" w:pos="9000"/>
        </w:tabs>
        <w:jc w:val="both"/>
        <w:rPr>
          <w:rFonts w:ascii="Gentium Plus" w:hAnsi="Gentium Plus"/>
        </w:rPr>
      </w:pPr>
      <w:r w:rsidRPr="00B84CA7">
        <w:rPr>
          <w:rFonts w:ascii="Gentium Plus" w:hAnsi="Gentium Plus"/>
          <w:u w:val="single"/>
        </w:rPr>
        <w:t>Siegel mit figürlichen Darstellungen</w:t>
      </w:r>
      <w:r>
        <w:rPr>
          <w:rFonts w:ascii="Gentium Plus" w:hAnsi="Gentium Plus"/>
        </w:rPr>
        <w:t>, deren Dekor hohen Grad von Varianz aufweist</w:t>
      </w:r>
    </w:p>
    <w:p w14:paraId="0FE660F7" w14:textId="053E132C" w:rsidR="00903053" w:rsidRDefault="00903053" w:rsidP="00903053">
      <w:pPr>
        <w:pStyle w:val="Listenabsatz"/>
        <w:numPr>
          <w:ilvl w:val="0"/>
          <w:numId w:val="6"/>
        </w:numPr>
        <w:tabs>
          <w:tab w:val="left" w:pos="1160"/>
          <w:tab w:val="right" w:pos="9000"/>
        </w:tabs>
        <w:jc w:val="both"/>
        <w:rPr>
          <w:rFonts w:ascii="Gentium Plus" w:hAnsi="Gentium Plus"/>
        </w:rPr>
      </w:pPr>
      <w:r>
        <w:rPr>
          <w:rFonts w:ascii="Gentium Plus" w:hAnsi="Gentium Plus"/>
        </w:rPr>
        <w:t>Mann im Netzrock und Haarknoten</w:t>
      </w:r>
      <w:r w:rsidR="004660E5">
        <w:rPr>
          <w:rFonts w:ascii="Gentium Plus" w:hAnsi="Gentium Plus"/>
        </w:rPr>
        <w:t xml:space="preserve"> ("Priesterfürst"), z.B. heraldische Szenen, Gefangenszenen</w:t>
      </w:r>
    </w:p>
    <w:p w14:paraId="6BF83817" w14:textId="18BF92B0" w:rsidR="00B84CA7" w:rsidRPr="00C152E5" w:rsidRDefault="00B84CA7" w:rsidP="00903053">
      <w:pPr>
        <w:pStyle w:val="Listenabsatz"/>
        <w:numPr>
          <w:ilvl w:val="0"/>
          <w:numId w:val="6"/>
        </w:numPr>
        <w:tabs>
          <w:tab w:val="left" w:pos="1160"/>
          <w:tab w:val="right" w:pos="9000"/>
        </w:tabs>
        <w:jc w:val="both"/>
        <w:rPr>
          <w:rFonts w:ascii="Gentium Plus" w:hAnsi="Gentium Plus"/>
          <w:u w:val="single"/>
        </w:rPr>
      </w:pPr>
      <w:r w:rsidRPr="00C152E5">
        <w:rPr>
          <w:rFonts w:ascii="Gentium Plus" w:hAnsi="Gentium Plus"/>
          <w:u w:val="single"/>
        </w:rPr>
        <w:t>Siegel mit abstraktem geometrischem Dekor oder abstrahierten figürlichen Szenen</w:t>
      </w:r>
    </w:p>
    <w:p w14:paraId="143C902D" w14:textId="7273D90C" w:rsidR="00B84CA7" w:rsidRPr="00B84CA7" w:rsidRDefault="00B84CA7" w:rsidP="00903053">
      <w:pPr>
        <w:pStyle w:val="Listenabsatz"/>
        <w:numPr>
          <w:ilvl w:val="0"/>
          <w:numId w:val="6"/>
        </w:numPr>
        <w:tabs>
          <w:tab w:val="left" w:pos="1160"/>
          <w:tab w:val="right" w:pos="9000"/>
        </w:tabs>
        <w:jc w:val="both"/>
        <w:rPr>
          <w:rFonts w:ascii="Gentium Plus" w:hAnsi="Gentium Plus"/>
          <w:u w:val="single"/>
        </w:rPr>
      </w:pPr>
      <w:r w:rsidRPr="0017640E">
        <w:rPr>
          <w:rFonts w:ascii="Gentium Plus" w:hAnsi="Gentium Plus"/>
        </w:rPr>
        <w:t>mit m</w:t>
      </w:r>
      <w:r>
        <w:rPr>
          <w:rFonts w:ascii="Gentium Plus" w:hAnsi="Gentium Plus"/>
        </w:rPr>
        <w:t>echanischen Hilfsmitteln wie</w:t>
      </w:r>
      <w:r w:rsidRPr="0017640E">
        <w:rPr>
          <w:rFonts w:ascii="Gentium Plus" w:hAnsi="Gentium Plus"/>
        </w:rPr>
        <w:t xml:space="preserve"> Drillbohrer </w:t>
      </w:r>
      <w:r>
        <w:rPr>
          <w:rFonts w:ascii="Gentium Plus" w:hAnsi="Gentium Plus"/>
        </w:rPr>
        <w:t xml:space="preserve">oder Schleifscheibe </w:t>
      </w:r>
      <w:r w:rsidRPr="0017640E">
        <w:rPr>
          <w:rFonts w:ascii="Gentium Plus" w:hAnsi="Gentium Plus"/>
        </w:rPr>
        <w:t>hergestellt</w:t>
      </w:r>
    </w:p>
    <w:p w14:paraId="527AB977" w14:textId="77777777" w:rsidR="00B31F09" w:rsidRDefault="00B31F09" w:rsidP="00193834">
      <w:pPr>
        <w:tabs>
          <w:tab w:val="left" w:pos="1160"/>
          <w:tab w:val="right" w:pos="9000"/>
        </w:tabs>
        <w:jc w:val="both"/>
        <w:rPr>
          <w:rFonts w:ascii="Gentium Plus" w:hAnsi="Gentium Plus"/>
        </w:rPr>
      </w:pPr>
    </w:p>
    <w:p w14:paraId="4929F1B5" w14:textId="77777777" w:rsidR="00B31F09" w:rsidRDefault="00B31F09" w:rsidP="00193834">
      <w:pPr>
        <w:tabs>
          <w:tab w:val="left" w:pos="1160"/>
          <w:tab w:val="right" w:pos="9000"/>
        </w:tabs>
        <w:jc w:val="both"/>
        <w:rPr>
          <w:rFonts w:ascii="Gentium Plus" w:hAnsi="Gentium Plus"/>
        </w:rPr>
      </w:pPr>
    </w:p>
    <w:p w14:paraId="156795C0" w14:textId="77777777" w:rsidR="00193834" w:rsidRPr="0017640E" w:rsidRDefault="00193834" w:rsidP="00193834">
      <w:pPr>
        <w:tabs>
          <w:tab w:val="left" w:pos="1160"/>
          <w:tab w:val="right" w:pos="9000"/>
        </w:tabs>
        <w:jc w:val="both"/>
        <w:rPr>
          <w:rFonts w:ascii="Gentium Plus" w:hAnsi="Gentium Plus"/>
        </w:rPr>
      </w:pPr>
      <w:r w:rsidRPr="0017640E">
        <w:rPr>
          <w:rFonts w:ascii="Gentium Plus" w:hAnsi="Gentium Plus"/>
        </w:rPr>
        <w:t>Keramik:</w:t>
      </w:r>
    </w:p>
    <w:p w14:paraId="41E8AD7C" w14:textId="24E8E984" w:rsidR="00193834" w:rsidRPr="007E2BA2" w:rsidRDefault="004660E5" w:rsidP="00193834">
      <w:pPr>
        <w:pStyle w:val="Listenabsatz"/>
        <w:numPr>
          <w:ilvl w:val="0"/>
          <w:numId w:val="3"/>
        </w:numPr>
        <w:tabs>
          <w:tab w:val="left" w:pos="1160"/>
          <w:tab w:val="right" w:pos="9000"/>
        </w:tabs>
        <w:jc w:val="both"/>
        <w:rPr>
          <w:rFonts w:ascii="Gentium Plus" w:hAnsi="Gentium Plus"/>
        </w:rPr>
      </w:pPr>
      <w:r w:rsidRPr="007E2BA2">
        <w:rPr>
          <w:rFonts w:ascii="Gentium Plus" w:hAnsi="Gentium Plus"/>
        </w:rPr>
        <w:t xml:space="preserve">Späte Uruk-Zeit: </w:t>
      </w:r>
      <w:r w:rsidR="00193834" w:rsidRPr="007E2BA2">
        <w:rPr>
          <w:rFonts w:ascii="Gentium Plus" w:hAnsi="Gentium Plus"/>
        </w:rPr>
        <w:t xml:space="preserve">Keramik als billige schnell herzustellende Massenware: </w:t>
      </w:r>
      <w:r w:rsidR="00B84CA7" w:rsidRPr="007E2BA2">
        <w:rPr>
          <w:rFonts w:ascii="Gentium Plus" w:hAnsi="Gentium Plus"/>
          <w:u w:val="single"/>
        </w:rPr>
        <w:t>"</w:t>
      </w:r>
      <w:r w:rsidR="00B84CA7" w:rsidRPr="007E2BA2">
        <w:rPr>
          <w:rFonts w:ascii="Gentium Plus" w:hAnsi="Gentium Plus"/>
          <w:b/>
          <w:u w:val="single"/>
        </w:rPr>
        <w:t>Glo</w:t>
      </w:r>
      <w:r w:rsidR="00193834" w:rsidRPr="007E2BA2">
        <w:rPr>
          <w:rFonts w:ascii="Gentium Plus" w:hAnsi="Gentium Plus"/>
          <w:b/>
          <w:u w:val="single"/>
        </w:rPr>
        <w:t>ckentöpfe</w:t>
      </w:r>
      <w:r w:rsidR="00B84CA7" w:rsidRPr="007E2BA2">
        <w:rPr>
          <w:rFonts w:ascii="Gentium Plus" w:hAnsi="Gentium Plus"/>
          <w:b/>
          <w:u w:val="single"/>
        </w:rPr>
        <w:t>"</w:t>
      </w:r>
      <w:r w:rsidR="00193834" w:rsidRPr="007E2BA2">
        <w:rPr>
          <w:rFonts w:ascii="Gentium Plus" w:hAnsi="Gentium Plus"/>
        </w:rPr>
        <w:t>, in</w:t>
      </w:r>
      <w:r w:rsidR="00B961F1" w:rsidRPr="007E2BA2">
        <w:rPr>
          <w:rFonts w:ascii="Gentium Plus" w:hAnsi="Gentium Plus"/>
        </w:rPr>
        <w:t xml:space="preserve"> Formen gepreßt; es handelt sich um</w:t>
      </w:r>
      <w:r w:rsidR="00193834" w:rsidRPr="007E2BA2">
        <w:rPr>
          <w:rFonts w:ascii="Gentium Plus" w:hAnsi="Gentium Plus"/>
        </w:rPr>
        <w:t xml:space="preserve"> Rationengefäße; machen bisweilen 75 % aller gefundenen Keramik aus</w:t>
      </w:r>
    </w:p>
    <w:p w14:paraId="615AA53B" w14:textId="0D32B02F" w:rsidR="00B84CA7" w:rsidRPr="00C152E5" w:rsidRDefault="00B84CA7" w:rsidP="00193834">
      <w:pPr>
        <w:pStyle w:val="Listenabsatz"/>
        <w:numPr>
          <w:ilvl w:val="0"/>
          <w:numId w:val="3"/>
        </w:numPr>
        <w:tabs>
          <w:tab w:val="left" w:pos="1160"/>
          <w:tab w:val="right" w:pos="9000"/>
        </w:tabs>
        <w:jc w:val="both"/>
        <w:rPr>
          <w:rFonts w:ascii="Gentium Plus" w:hAnsi="Gentium Plus"/>
        </w:rPr>
      </w:pPr>
      <w:r w:rsidRPr="00C152E5">
        <w:rPr>
          <w:rFonts w:ascii="Gentium Plus" w:hAnsi="Gentium Plus"/>
        </w:rPr>
        <w:t xml:space="preserve">Jemdet Nasr-Zeit: </w:t>
      </w:r>
      <w:r w:rsidRPr="00C152E5">
        <w:rPr>
          <w:rFonts w:ascii="Gentium Plus" w:hAnsi="Gentium Plus"/>
          <w:b/>
          <w:u w:val="single"/>
        </w:rPr>
        <w:t>"Blumentöpfe"</w:t>
      </w:r>
      <w:r w:rsidR="009216CC">
        <w:rPr>
          <w:rFonts w:ascii="Gentium Plus" w:hAnsi="Gentium Plus"/>
        </w:rPr>
        <w:t xml:space="preserve"> (Massenproduktion auf schnell drehender Töpferscheibe); </w:t>
      </w:r>
      <w:r w:rsidR="001E738F" w:rsidRPr="00C152E5">
        <w:rPr>
          <w:rFonts w:ascii="Gentium Plus" w:hAnsi="Gentium Plus"/>
        </w:rPr>
        <w:t xml:space="preserve">auch </w:t>
      </w:r>
      <w:r w:rsidR="001E738F" w:rsidRPr="00C152E5">
        <w:rPr>
          <w:rFonts w:ascii="Gentium Plus" w:hAnsi="Gentium Plus"/>
          <w:b/>
          <w:u w:val="single"/>
        </w:rPr>
        <w:t>Buntkeramik</w:t>
      </w:r>
      <w:r w:rsidR="001E738F" w:rsidRPr="00C152E5">
        <w:rPr>
          <w:rFonts w:ascii="Gentium Plus" w:hAnsi="Gentium Plus"/>
        </w:rPr>
        <w:t xml:space="preserve"> bezeugt</w:t>
      </w:r>
    </w:p>
    <w:p w14:paraId="16543382" w14:textId="77777777" w:rsidR="00193834" w:rsidRPr="0017640E" w:rsidRDefault="00193834" w:rsidP="00193834">
      <w:pPr>
        <w:tabs>
          <w:tab w:val="left" w:pos="1160"/>
          <w:tab w:val="right" w:pos="9000"/>
        </w:tabs>
        <w:jc w:val="both"/>
        <w:rPr>
          <w:rFonts w:ascii="Gentium Plus" w:hAnsi="Gentium Plus"/>
        </w:rPr>
      </w:pPr>
    </w:p>
    <w:p w14:paraId="3748C450" w14:textId="77777777" w:rsidR="00193834" w:rsidRPr="0017640E" w:rsidRDefault="00193834" w:rsidP="00193834">
      <w:pPr>
        <w:tabs>
          <w:tab w:val="left" w:pos="1160"/>
          <w:tab w:val="right" w:pos="9000"/>
        </w:tabs>
        <w:jc w:val="both"/>
        <w:rPr>
          <w:rFonts w:ascii="Gentium Plus" w:hAnsi="Gentium Plus"/>
        </w:rPr>
      </w:pPr>
      <w:r w:rsidRPr="0017640E">
        <w:rPr>
          <w:rFonts w:ascii="Gentium Plus" w:hAnsi="Gentium Plus"/>
        </w:rPr>
        <w:t>Schrift:</w:t>
      </w:r>
    </w:p>
    <w:p w14:paraId="53C903AE" w14:textId="77777777" w:rsidR="00671EC7" w:rsidRPr="0017640E" w:rsidRDefault="00193834" w:rsidP="00671EC7">
      <w:pPr>
        <w:pStyle w:val="Listenabsatz"/>
        <w:numPr>
          <w:ilvl w:val="0"/>
          <w:numId w:val="2"/>
        </w:numPr>
        <w:tabs>
          <w:tab w:val="left" w:pos="1160"/>
          <w:tab w:val="right" w:pos="9000"/>
        </w:tabs>
        <w:jc w:val="both"/>
        <w:rPr>
          <w:rFonts w:ascii="Gentium Plus" w:hAnsi="Gentium Plus"/>
        </w:rPr>
      </w:pPr>
      <w:r w:rsidRPr="0017640E">
        <w:rPr>
          <w:rFonts w:ascii="Gentium Plus" w:hAnsi="Gentium Plus"/>
        </w:rPr>
        <w:t xml:space="preserve">Komplexe gesellschaftliche Verhältnisse führen </w:t>
      </w:r>
      <w:r w:rsidR="007C16D5">
        <w:rPr>
          <w:rFonts w:ascii="Gentium Plus" w:hAnsi="Gentium Plus"/>
        </w:rPr>
        <w:t>während der 2. H</w:t>
      </w:r>
      <w:r w:rsidR="00671EC7">
        <w:rPr>
          <w:rFonts w:ascii="Gentium Plus" w:hAnsi="Gentium Plus"/>
        </w:rPr>
        <w:t>älfte des 4. J</w:t>
      </w:r>
      <w:r w:rsidR="007C16D5">
        <w:rPr>
          <w:rFonts w:ascii="Gentium Plus" w:hAnsi="Gentium Plus"/>
        </w:rPr>
        <w:t xml:space="preserve">ahrtausends </w:t>
      </w:r>
      <w:r w:rsidRPr="0017640E">
        <w:rPr>
          <w:rFonts w:ascii="Gentium Plus" w:hAnsi="Gentium Plus"/>
        </w:rPr>
        <w:t>zu neuen Formen von Wirtschaftsv</w:t>
      </w:r>
      <w:r w:rsidR="00362459">
        <w:rPr>
          <w:rFonts w:ascii="Gentium Plus" w:hAnsi="Gentium Plus"/>
        </w:rPr>
        <w:t>erwaltung und Datenspeicherung =&gt;</w:t>
      </w:r>
      <w:r w:rsidRPr="0017640E">
        <w:rPr>
          <w:rFonts w:ascii="Gentium Plus" w:hAnsi="Gentium Plus"/>
        </w:rPr>
        <w:t xml:space="preserve"> der Erfindung der Schrift. </w:t>
      </w:r>
      <w:r w:rsidR="00671EC7">
        <w:rPr>
          <w:rFonts w:ascii="Gentium Plus" w:hAnsi="Gentium Plus"/>
        </w:rPr>
        <w:t>Schrifterfindung in der späten Uruk-Zeit (Uruk IV), Weiterentwicklung während der Jemdet Nasr-Zeit (Uruk III)</w:t>
      </w:r>
    </w:p>
    <w:p w14:paraId="7DA012D7" w14:textId="21CF65DF" w:rsidR="00193834" w:rsidRDefault="00193834" w:rsidP="00193834">
      <w:pPr>
        <w:pStyle w:val="Listenabsatz"/>
        <w:numPr>
          <w:ilvl w:val="0"/>
          <w:numId w:val="2"/>
        </w:numPr>
        <w:tabs>
          <w:tab w:val="left" w:pos="1160"/>
          <w:tab w:val="right" w:pos="9000"/>
        </w:tabs>
        <w:jc w:val="both"/>
        <w:rPr>
          <w:rFonts w:ascii="Gentium Plus" w:hAnsi="Gentium Plus"/>
        </w:rPr>
      </w:pPr>
      <w:r w:rsidRPr="0017640E">
        <w:rPr>
          <w:rFonts w:ascii="Gentium Plus" w:hAnsi="Gentium Plus"/>
        </w:rPr>
        <w:t>Lange vor der Uruk-Zeit verwend</w:t>
      </w:r>
      <w:r w:rsidR="00FA787C">
        <w:rPr>
          <w:rFonts w:ascii="Gentium Plus" w:hAnsi="Gentium Plus"/>
        </w:rPr>
        <w:t xml:space="preserve">ete man sogenannte Zählsteine, </w:t>
      </w:r>
      <w:r w:rsidR="00FA787C" w:rsidRPr="00FA787C">
        <w:rPr>
          <w:rFonts w:ascii="Gentium Plus" w:hAnsi="Gentium Plus"/>
          <w:i/>
        </w:rPr>
        <w:t>c</w:t>
      </w:r>
      <w:r w:rsidRPr="00FA787C">
        <w:rPr>
          <w:rFonts w:ascii="Gentium Plus" w:hAnsi="Gentium Plus"/>
          <w:i/>
        </w:rPr>
        <w:t>alculi</w:t>
      </w:r>
      <w:r w:rsidR="00FA787C">
        <w:rPr>
          <w:rFonts w:ascii="Gentium Plus" w:hAnsi="Gentium Plus"/>
        </w:rPr>
        <w:t xml:space="preserve"> oder t</w:t>
      </w:r>
      <w:r w:rsidRPr="0017640E">
        <w:rPr>
          <w:rFonts w:ascii="Gentium Plus" w:hAnsi="Gentium Plus"/>
        </w:rPr>
        <w:t>okens als Gedächtnisstütze. Oft besaßen die Steinchen eine Form, die das Gezählte erkennen ließ.</w:t>
      </w:r>
    </w:p>
    <w:p w14:paraId="00FFC3E3" w14:textId="20ECEE52" w:rsidR="00193834" w:rsidRPr="0017640E" w:rsidRDefault="00193834" w:rsidP="00193834">
      <w:pPr>
        <w:pStyle w:val="Listenabsatz"/>
        <w:numPr>
          <w:ilvl w:val="0"/>
          <w:numId w:val="2"/>
        </w:numPr>
        <w:tabs>
          <w:tab w:val="left" w:pos="1160"/>
          <w:tab w:val="right" w:pos="9000"/>
        </w:tabs>
        <w:jc w:val="both"/>
        <w:rPr>
          <w:rFonts w:ascii="Gentium Plus" w:hAnsi="Gentium Plus"/>
        </w:rPr>
      </w:pPr>
      <w:r w:rsidRPr="0017640E">
        <w:rPr>
          <w:rFonts w:ascii="Gentium Plus" w:hAnsi="Gentium Plus"/>
        </w:rPr>
        <w:t xml:space="preserve">Um Manipulationen vorzubeugen, konnten die Zählsteine konnten in Tonbullen, d.h. einen hohlen Tonklumpen, eingeschlossen werden. Auf der Außenseite der Tonbulle wurden dann Siegel </w:t>
      </w:r>
      <w:r w:rsidRPr="0017640E">
        <w:rPr>
          <w:rFonts w:ascii="Gentium Plus" w:hAnsi="Gentium Plus"/>
          <w:u w:val="single"/>
        </w:rPr>
        <w:t>abgerollt</w:t>
      </w:r>
      <w:r w:rsidRPr="0017640E">
        <w:rPr>
          <w:rFonts w:ascii="Gentium Plus" w:hAnsi="Gentium Plus"/>
        </w:rPr>
        <w:t xml:space="preserve"> =&gt; die Siegel besaßen die Form eines kleines Zylinders, es handelt sich um </w:t>
      </w:r>
      <w:r w:rsidRPr="0017640E">
        <w:rPr>
          <w:rFonts w:ascii="Gentium Plus" w:hAnsi="Gentium Plus"/>
          <w:u w:val="single"/>
        </w:rPr>
        <w:t>Rollsiegel</w:t>
      </w:r>
      <w:r w:rsidRPr="0017640E">
        <w:rPr>
          <w:rFonts w:ascii="Gentium Plus" w:hAnsi="Gentium Plus"/>
        </w:rPr>
        <w:t xml:space="preserve">, keine Stempelsiegel. Rollsiegel kann auf Tonflächen gut und bequem große Flächen versiegeln. Auch die Anzahl der eingeschlossenen Steinchen konnte durch Striche auf der Außenseite der </w:t>
      </w:r>
      <w:r w:rsidR="000C549A">
        <w:rPr>
          <w:rFonts w:ascii="Gentium Plus" w:hAnsi="Gentium Plus"/>
        </w:rPr>
        <w:t>Bulle kenntlich gemacht werden oder Zählsteine konnten an der Außenhülle abgedrückt werden.</w:t>
      </w:r>
    </w:p>
    <w:p w14:paraId="6F0A7FA7" w14:textId="77777777" w:rsidR="00193834" w:rsidRDefault="00193834" w:rsidP="00193834">
      <w:pPr>
        <w:pStyle w:val="Listenabsatz"/>
        <w:numPr>
          <w:ilvl w:val="0"/>
          <w:numId w:val="2"/>
        </w:numPr>
        <w:tabs>
          <w:tab w:val="left" w:pos="1160"/>
          <w:tab w:val="right" w:pos="9000"/>
        </w:tabs>
        <w:jc w:val="both"/>
        <w:rPr>
          <w:rFonts w:ascii="Gentium Plus" w:hAnsi="Gentium Plus"/>
        </w:rPr>
      </w:pPr>
      <w:r w:rsidRPr="0017640E">
        <w:rPr>
          <w:rFonts w:ascii="Gentium Plus" w:hAnsi="Gentium Plus"/>
        </w:rPr>
        <w:t>Diese Methode war freilich recht umständlich und es erwies sich als einfacher, die relevanten Markierungen direkt auf eine flache Tontafel einzudrücken und dann ein Rollsiegel auf der Tafel abzurollen. Eine flache Tontafel konnte durch einfache Ritzlinien problemlos in übersichtliche rechteckige Fächer unterteilt werden.</w:t>
      </w:r>
    </w:p>
    <w:p w14:paraId="4B56F9A2" w14:textId="77777777" w:rsidR="00FA787C" w:rsidRDefault="00FA787C" w:rsidP="00FA787C">
      <w:pPr>
        <w:tabs>
          <w:tab w:val="left" w:pos="1160"/>
          <w:tab w:val="right" w:pos="9000"/>
        </w:tabs>
        <w:jc w:val="both"/>
        <w:rPr>
          <w:rFonts w:ascii="Gentium Plus" w:hAnsi="Gentium Plus"/>
          <w:sz w:val="20"/>
        </w:rPr>
      </w:pPr>
    </w:p>
    <w:p w14:paraId="00D01F9C" w14:textId="77777777" w:rsidR="00193834" w:rsidRPr="0017640E" w:rsidRDefault="00193834" w:rsidP="00193834">
      <w:pPr>
        <w:tabs>
          <w:tab w:val="left" w:pos="1160"/>
          <w:tab w:val="right" w:pos="9000"/>
        </w:tabs>
        <w:jc w:val="both"/>
        <w:rPr>
          <w:rFonts w:ascii="Gentium Plus" w:hAnsi="Gentium Plus"/>
        </w:rPr>
      </w:pPr>
    </w:p>
    <w:p w14:paraId="4B595EF1" w14:textId="77777777" w:rsidR="00193834" w:rsidRPr="0017640E" w:rsidRDefault="00193834" w:rsidP="00193834">
      <w:pPr>
        <w:tabs>
          <w:tab w:val="left" w:pos="1160"/>
          <w:tab w:val="right" w:pos="9000"/>
        </w:tabs>
        <w:jc w:val="both"/>
        <w:rPr>
          <w:rFonts w:ascii="Gentium Plus" w:hAnsi="Gentium Plus"/>
        </w:rPr>
      </w:pPr>
      <w:r w:rsidRPr="0017640E">
        <w:rPr>
          <w:rFonts w:ascii="Gentium Plus" w:hAnsi="Gentium Plus"/>
        </w:rPr>
        <w:t>Uruk World System:</w:t>
      </w:r>
    </w:p>
    <w:p w14:paraId="3E9C1107" w14:textId="77777777" w:rsidR="00193834" w:rsidRPr="0017640E" w:rsidRDefault="00193834" w:rsidP="00193834">
      <w:pPr>
        <w:pStyle w:val="Listenabsatz"/>
        <w:numPr>
          <w:ilvl w:val="0"/>
          <w:numId w:val="2"/>
        </w:numPr>
        <w:tabs>
          <w:tab w:val="left" w:pos="1160"/>
          <w:tab w:val="right" w:pos="9000"/>
        </w:tabs>
        <w:jc w:val="both"/>
        <w:rPr>
          <w:rFonts w:ascii="Gentium Plus" w:hAnsi="Gentium Plus"/>
        </w:rPr>
      </w:pPr>
      <w:r w:rsidRPr="0017640E">
        <w:rPr>
          <w:rFonts w:ascii="Gentium Plus" w:hAnsi="Gentium Plus"/>
        </w:rPr>
        <w:t>Große Ausstrahlungskraft der frühen Hochkultur in Südmesopotamien; Guillermo Algaze spricht von einem "Uruk World System". Die Uruk-Kultur bildet Kolonien in Nordmesopotamien und Enklaven und Handelsposten bis tief in die Taurusregion und den Iran hinein</w:t>
      </w:r>
    </w:p>
    <w:p w14:paraId="044617CF" w14:textId="77777777" w:rsidR="00193834" w:rsidRPr="0017640E" w:rsidRDefault="00193834" w:rsidP="00193834">
      <w:pPr>
        <w:pStyle w:val="Listenabsatz"/>
        <w:numPr>
          <w:ilvl w:val="0"/>
          <w:numId w:val="2"/>
        </w:numPr>
        <w:tabs>
          <w:tab w:val="left" w:pos="1160"/>
          <w:tab w:val="right" w:pos="9000"/>
        </w:tabs>
        <w:jc w:val="both"/>
        <w:rPr>
          <w:rFonts w:ascii="Gentium Plus" w:hAnsi="Gentium Plus"/>
        </w:rPr>
      </w:pPr>
      <w:r w:rsidRPr="0017640E">
        <w:rPr>
          <w:rFonts w:ascii="Gentium Plus" w:hAnsi="Gentium Plus"/>
        </w:rPr>
        <w:t>Habuba-Kabira am Euphrat: Eine auf dem Reißbrett gepante Stadt mit rechteckigem Grundriß, mit Türmen bewehrten Stadtmauer und standardisierten Häusern und einem grob rechtwinkligen Straßensystem. Die Häuser sind vom Typus des Mittelsaalhauses</w:t>
      </w:r>
    </w:p>
    <w:p w14:paraId="06A54A5D" w14:textId="77777777" w:rsidR="00193834" w:rsidRPr="0017640E" w:rsidRDefault="00193834" w:rsidP="00193834">
      <w:pPr>
        <w:tabs>
          <w:tab w:val="left" w:pos="1160"/>
          <w:tab w:val="right" w:pos="9000"/>
        </w:tabs>
        <w:jc w:val="both"/>
        <w:rPr>
          <w:rFonts w:ascii="Gentium Plus" w:hAnsi="Gentium Plus"/>
          <w:b/>
        </w:rPr>
      </w:pPr>
    </w:p>
    <w:p w14:paraId="0E2295AC" w14:textId="77777777" w:rsidR="00193834" w:rsidRPr="0017640E" w:rsidRDefault="00193834" w:rsidP="00193834">
      <w:pPr>
        <w:tabs>
          <w:tab w:val="left" w:pos="1160"/>
          <w:tab w:val="right" w:pos="9000"/>
        </w:tabs>
        <w:jc w:val="both"/>
        <w:rPr>
          <w:rFonts w:ascii="Gentium Plus" w:hAnsi="Gentium Plus"/>
          <w:b/>
        </w:rPr>
      </w:pPr>
    </w:p>
    <w:p w14:paraId="401A0744" w14:textId="77777777" w:rsidR="00193834" w:rsidRPr="0017640E" w:rsidRDefault="00193834" w:rsidP="00193834">
      <w:pPr>
        <w:tabs>
          <w:tab w:val="left" w:pos="1160"/>
          <w:tab w:val="right" w:pos="9000"/>
        </w:tabs>
        <w:jc w:val="both"/>
        <w:rPr>
          <w:rFonts w:ascii="Gentium Plus" w:hAnsi="Gentium Plus"/>
        </w:rPr>
      </w:pPr>
    </w:p>
    <w:p w14:paraId="757E7FD9" w14:textId="77777777" w:rsidR="00193834" w:rsidRPr="0017640E" w:rsidRDefault="00193834" w:rsidP="00193834">
      <w:pPr>
        <w:tabs>
          <w:tab w:val="left" w:pos="1160"/>
          <w:tab w:val="right" w:pos="9000"/>
        </w:tabs>
        <w:ind w:left="360"/>
        <w:jc w:val="both"/>
        <w:rPr>
          <w:rFonts w:ascii="Gentium Plus" w:hAnsi="Gentium Plus"/>
        </w:rPr>
      </w:pPr>
    </w:p>
    <w:p w14:paraId="10FBA4AA" w14:textId="77777777" w:rsidR="00193834" w:rsidRPr="0017640E" w:rsidRDefault="00193834" w:rsidP="00193834">
      <w:pPr>
        <w:tabs>
          <w:tab w:val="left" w:pos="1160"/>
          <w:tab w:val="right" w:pos="9000"/>
        </w:tabs>
        <w:jc w:val="both"/>
        <w:rPr>
          <w:rFonts w:ascii="Gentium Plus" w:hAnsi="Gentium Plus"/>
        </w:rPr>
      </w:pPr>
    </w:p>
    <w:p w14:paraId="20E8D8EA" w14:textId="77777777" w:rsidR="00193834" w:rsidRPr="0017640E" w:rsidRDefault="00193834" w:rsidP="00193834">
      <w:pPr>
        <w:rPr>
          <w:rFonts w:ascii="Gentium Plus" w:hAnsi="Gentium Plus"/>
        </w:rPr>
      </w:pPr>
    </w:p>
    <w:p w14:paraId="1FD6439B" w14:textId="77777777" w:rsidR="00193834" w:rsidRPr="0017640E" w:rsidRDefault="00193834" w:rsidP="00193834">
      <w:pPr>
        <w:rPr>
          <w:rFonts w:ascii="Gentium Plus" w:eastAsiaTheme="minorHAnsi" w:hAnsi="Gentium Plus" w:cstheme="minorBidi"/>
          <w:szCs w:val="24"/>
          <w:lang w:eastAsia="en-US"/>
        </w:rPr>
      </w:pPr>
    </w:p>
    <w:p w14:paraId="79EC466E" w14:textId="77777777" w:rsidR="00575B71" w:rsidRPr="0017640E" w:rsidRDefault="00575B71">
      <w:pPr>
        <w:rPr>
          <w:rFonts w:ascii="Gentium Plus" w:hAnsi="Gentium Plus"/>
        </w:rPr>
      </w:pPr>
    </w:p>
    <w:sectPr w:rsidR="00575B71" w:rsidRPr="0017640E" w:rsidSect="0099118B">
      <w:footerReference w:type="even" r:id="rId7"/>
      <w:footerReference w:type="default" r:id="rId8"/>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CE13" w14:textId="77777777" w:rsidR="00AB0552" w:rsidRDefault="00AB0552">
      <w:r>
        <w:separator/>
      </w:r>
    </w:p>
  </w:endnote>
  <w:endnote w:type="continuationSeparator" w:id="0">
    <w:p w14:paraId="7A978A3B" w14:textId="77777777" w:rsidR="00AB0552" w:rsidRDefault="00AB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Plus">
    <w:panose1 w:val="02000503060000020004"/>
    <w:charset w:val="00"/>
    <w:family w:val="auto"/>
    <w:pitch w:val="variable"/>
    <w:sig w:usb0="E00002FF" w:usb1="5200E1FB" w:usb2="02000029" w:usb3="00000000" w:csb0="000001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Sumertime">
    <w:altName w:val="Gentium Plu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My2GaraCOIta">
    <w:altName w:val="Cambria"/>
    <w:panose1 w:val="00000000000000000000"/>
    <w:charset w:val="4D"/>
    <w:family w:val="auto"/>
    <w:notTrueType/>
    <w:pitch w:val="default"/>
    <w:sig w:usb0="00000003" w:usb1="00000000" w:usb2="00000000" w:usb3="00000000" w:csb0="00000001" w:csb1="00000000"/>
  </w:font>
  <w:font w:name="Heiti SC">
    <w:charset w:val="86"/>
    <w:family w:val="auto"/>
    <w:pitch w:val="variable"/>
    <w:sig w:usb0="8000002F" w:usb1="080E004A" w:usb2="00000010" w:usb3="00000000" w:csb0="003E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3600" w14:textId="77777777" w:rsidR="002515AB" w:rsidRDefault="001C2D38" w:rsidP="00407FF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2A87A3E" w14:textId="77777777" w:rsidR="002515AB" w:rsidRDefault="00AB0552" w:rsidP="002515AB">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9C30" w14:textId="77777777" w:rsidR="002515AB" w:rsidRDefault="001C2D38" w:rsidP="00407FF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B0552">
      <w:rPr>
        <w:rStyle w:val="Seitenzahl"/>
        <w:noProof/>
      </w:rPr>
      <w:t>1</w:t>
    </w:r>
    <w:r>
      <w:rPr>
        <w:rStyle w:val="Seitenzahl"/>
      </w:rPr>
      <w:fldChar w:fldCharType="end"/>
    </w:r>
  </w:p>
  <w:p w14:paraId="44D6A84A" w14:textId="77777777" w:rsidR="002515AB" w:rsidRDefault="00AB0552" w:rsidP="002515AB">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500B3" w14:textId="77777777" w:rsidR="00AB0552" w:rsidRDefault="00AB0552">
      <w:r>
        <w:separator/>
      </w:r>
    </w:p>
  </w:footnote>
  <w:footnote w:type="continuationSeparator" w:id="0">
    <w:p w14:paraId="2AB5E9A3" w14:textId="77777777" w:rsidR="00AB0552" w:rsidRDefault="00AB05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650"/>
    <w:multiLevelType w:val="hybridMultilevel"/>
    <w:tmpl w:val="15EA3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CB6CCE"/>
    <w:multiLevelType w:val="hybridMultilevel"/>
    <w:tmpl w:val="B574D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220FCD"/>
    <w:multiLevelType w:val="hybridMultilevel"/>
    <w:tmpl w:val="9996B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3E5AB8"/>
    <w:multiLevelType w:val="hybridMultilevel"/>
    <w:tmpl w:val="64E87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3F3B57"/>
    <w:multiLevelType w:val="hybridMultilevel"/>
    <w:tmpl w:val="84D0B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EF5484"/>
    <w:multiLevelType w:val="hybridMultilevel"/>
    <w:tmpl w:val="206E7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65B01C3"/>
    <w:multiLevelType w:val="hybridMultilevel"/>
    <w:tmpl w:val="7720A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34"/>
    <w:rsid w:val="000004B6"/>
    <w:rsid w:val="00007F89"/>
    <w:rsid w:val="00043F50"/>
    <w:rsid w:val="00060237"/>
    <w:rsid w:val="000A5949"/>
    <w:rsid w:val="000C549A"/>
    <w:rsid w:val="000E682D"/>
    <w:rsid w:val="00120240"/>
    <w:rsid w:val="00151FC5"/>
    <w:rsid w:val="00167938"/>
    <w:rsid w:val="0017640E"/>
    <w:rsid w:val="00177D32"/>
    <w:rsid w:val="00193834"/>
    <w:rsid w:val="001B6078"/>
    <w:rsid w:val="001C2D38"/>
    <w:rsid w:val="001C5AD0"/>
    <w:rsid w:val="001E738F"/>
    <w:rsid w:val="001F607C"/>
    <w:rsid w:val="002039D4"/>
    <w:rsid w:val="0021319A"/>
    <w:rsid w:val="00235A6C"/>
    <w:rsid w:val="00247766"/>
    <w:rsid w:val="00265930"/>
    <w:rsid w:val="0029060D"/>
    <w:rsid w:val="002E301E"/>
    <w:rsid w:val="002E35E0"/>
    <w:rsid w:val="00333FDB"/>
    <w:rsid w:val="00362459"/>
    <w:rsid w:val="00383D9E"/>
    <w:rsid w:val="00386371"/>
    <w:rsid w:val="003914F9"/>
    <w:rsid w:val="003B267A"/>
    <w:rsid w:val="0041203A"/>
    <w:rsid w:val="004660E5"/>
    <w:rsid w:val="004D4D1F"/>
    <w:rsid w:val="005407FE"/>
    <w:rsid w:val="00575B71"/>
    <w:rsid w:val="00593F33"/>
    <w:rsid w:val="005B142E"/>
    <w:rsid w:val="005B358F"/>
    <w:rsid w:val="00617693"/>
    <w:rsid w:val="006547CE"/>
    <w:rsid w:val="00671EC7"/>
    <w:rsid w:val="007171E8"/>
    <w:rsid w:val="007238C0"/>
    <w:rsid w:val="00723D87"/>
    <w:rsid w:val="007C16D5"/>
    <w:rsid w:val="007E2BA2"/>
    <w:rsid w:val="00841038"/>
    <w:rsid w:val="00861D4F"/>
    <w:rsid w:val="008D7E50"/>
    <w:rsid w:val="008E7034"/>
    <w:rsid w:val="00903053"/>
    <w:rsid w:val="00903983"/>
    <w:rsid w:val="009216CC"/>
    <w:rsid w:val="009E4FA5"/>
    <w:rsid w:val="009E61AC"/>
    <w:rsid w:val="00A2258A"/>
    <w:rsid w:val="00AB0552"/>
    <w:rsid w:val="00B208A1"/>
    <w:rsid w:val="00B31474"/>
    <w:rsid w:val="00B31F09"/>
    <w:rsid w:val="00B35C64"/>
    <w:rsid w:val="00B84CA7"/>
    <w:rsid w:val="00B961F1"/>
    <w:rsid w:val="00BC28B8"/>
    <w:rsid w:val="00BD3217"/>
    <w:rsid w:val="00C152E5"/>
    <w:rsid w:val="00C66486"/>
    <w:rsid w:val="00CB3484"/>
    <w:rsid w:val="00CB7BBC"/>
    <w:rsid w:val="00CD3B55"/>
    <w:rsid w:val="00CF3E24"/>
    <w:rsid w:val="00D50717"/>
    <w:rsid w:val="00D55F61"/>
    <w:rsid w:val="00D57A77"/>
    <w:rsid w:val="00D81B1F"/>
    <w:rsid w:val="00DD5099"/>
    <w:rsid w:val="00DD5729"/>
    <w:rsid w:val="00DE412F"/>
    <w:rsid w:val="00E54656"/>
    <w:rsid w:val="00E865BF"/>
    <w:rsid w:val="00E95C2A"/>
    <w:rsid w:val="00EE34AB"/>
    <w:rsid w:val="00F271FA"/>
    <w:rsid w:val="00F361FE"/>
    <w:rsid w:val="00F41584"/>
    <w:rsid w:val="00F65D2C"/>
    <w:rsid w:val="00F66635"/>
    <w:rsid w:val="00F90AE5"/>
    <w:rsid w:val="00F92778"/>
    <w:rsid w:val="00F964D8"/>
    <w:rsid w:val="00FA787C"/>
    <w:rsid w:val="00FA7A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E181E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tium Plus" w:eastAsiaTheme="minorHAnsi" w:hAnsi="Gentium Plus" w:cs="MS Mincho"/>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93834"/>
    <w:rPr>
      <w:rFonts w:ascii="Sumertime" w:eastAsia="Times New Roman" w:hAnsi="Sumertime"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3834"/>
    <w:pPr>
      <w:ind w:left="720"/>
      <w:contextualSpacing/>
    </w:pPr>
  </w:style>
  <w:style w:type="paragraph" w:styleId="Fuzeile">
    <w:name w:val="footer"/>
    <w:basedOn w:val="Standard"/>
    <w:link w:val="FuzeileZchn"/>
    <w:uiPriority w:val="99"/>
    <w:unhideWhenUsed/>
    <w:rsid w:val="00193834"/>
    <w:pPr>
      <w:tabs>
        <w:tab w:val="center" w:pos="4536"/>
        <w:tab w:val="right" w:pos="9072"/>
      </w:tabs>
    </w:pPr>
  </w:style>
  <w:style w:type="character" w:customStyle="1" w:styleId="FuzeileZchn">
    <w:name w:val="Fußzeile Zchn"/>
    <w:basedOn w:val="Absatz-Standardschriftart"/>
    <w:link w:val="Fuzeile"/>
    <w:uiPriority w:val="99"/>
    <w:rsid w:val="00193834"/>
    <w:rPr>
      <w:rFonts w:ascii="Sumertime" w:eastAsia="Times New Roman" w:hAnsi="Sumertime" w:cs="Arial"/>
      <w:szCs w:val="20"/>
      <w:lang w:eastAsia="de-DE"/>
    </w:rPr>
  </w:style>
  <w:style w:type="character" w:styleId="Seitenzahl">
    <w:name w:val="page number"/>
    <w:basedOn w:val="Absatz-Standardschriftart"/>
    <w:uiPriority w:val="99"/>
    <w:semiHidden/>
    <w:unhideWhenUsed/>
    <w:rsid w:val="00193834"/>
  </w:style>
  <w:style w:type="paragraph" w:customStyle="1" w:styleId="Literatur">
    <w:name w:val="Literatur"/>
    <w:basedOn w:val="Standard"/>
    <w:qFormat/>
    <w:rsid w:val="0029060D"/>
    <w:pPr>
      <w:spacing w:line="220" w:lineRule="exact"/>
      <w:ind w:left="284" w:hanging="284"/>
      <w:contextualSpacing/>
    </w:pPr>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6066</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Ambos</dc:creator>
  <cp:keywords/>
  <dc:description/>
  <cp:lastModifiedBy>Claus Ambos</cp:lastModifiedBy>
  <cp:revision>82</cp:revision>
  <dcterms:created xsi:type="dcterms:W3CDTF">2017-11-01T08:55:00Z</dcterms:created>
  <dcterms:modified xsi:type="dcterms:W3CDTF">2017-11-29T13:33:00Z</dcterms:modified>
</cp:coreProperties>
</file>